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"/>
        <w:gridCol w:w="1265"/>
        <w:gridCol w:w="993"/>
        <w:gridCol w:w="3543"/>
        <w:gridCol w:w="2835"/>
        <w:gridCol w:w="1680"/>
        <w:gridCol w:w="20"/>
        <w:gridCol w:w="7353"/>
        <w:gridCol w:w="1681"/>
        <w:gridCol w:w="9053"/>
      </w:tblGrid>
      <w:tr>
        <w:trPr>
          <w:trHeight w:val="100" w:hRule="atLeast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Urologia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piąty 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(10 w., 10 z.p, 5 p.w.)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Zaliczony tok studiów do IV semestru włącznie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Celem uczenia się jest poznanie tematyki dotyczącej ostrych i przewlekłych stanów chorobowych układu moczowego u kobiet oraz moczowo-płciowego u mężczyzn, ich diagnostyka  i leczenie zachowawcze oraz operacyjne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zapoznanie studentów ze stanami nagłymi  w urologii, rozpoznawanie takich stanów, postępowanie i udzielanie kwalifikowanej pomocy przedszpitalnej na miejscu wypadku, podczas transportu, w Izbie Przyjęć oraz Oddziale Urologicznym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Przygotowanie studenta z zakresu zagadnień związanych z objawami, patofizjologią, diagnostyką, leczeniem operacyjnym, postepowaniem przedszpitalnym i szpitalnym w schorzeniach, urazach układu moczowego z uwzględnieniem stanów nagłych w urologii.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uczenia się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  oraz U_ 01 – U_06 będą sprawdzane na zaliczeniu oraz w trakcie zajęć praktycznych.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K_01-  K_03 będą sprawdzane podczas zajęć praktycznych w trakcie pracy indywidualnej i grupowej, poprzez dyskusję oraz wyrażanie swoich opinii przez studentów.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(zaliczenie na ocenę)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>zakończone są zaliczeniem na ocenę, na podstawie obowiązkowej obecności i zaangażowania w pracy oraz wyników testu końcowego.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Zajęcia praktyczne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warunkiem zaliczenia jest  obecność na wszystkich zajęciach, czynny udział w zajęciach z pacjentem i ocena realizacji określonego zadania, aktywność oceniana na bieżąco.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Ocena końcowa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średnią ocen z wykładów i zajęć praktycznych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09" w:hRule="atLeast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wykłady;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ogólne – anatomia, patofizjologia, symptomatologia układu narządów moczowych i układu narządów płciowych męskich,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Ocena stanu pacjenta w schorzeniach urologicznych z uwzględnieniem badania przedmiotowego i podmiotowego. Monitorowanie przyrządowe i bezprzyrządowe w stanach zagrożenia życia w urologii.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Działania ratownicze w ostrym zatrzymaniu moczu.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/>
            </w:pPr>
            <w:r>
              <w:rPr/>
              <w:t>Postępowanie przedszpitalne w urazach nerek, pęcherza, dróg moczowych i narządów płciowych.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/>
              <w:t>Stany nagłe nieurazowe w urologii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Normal"/>
              <w:widowControl w:val="false"/>
              <w:spacing w:before="0" w:after="0"/>
              <w:ind w:left="630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 Przyczyny, objawy i postępowanie w ostrej, zanerkowej  niewydokności nerek </w:t>
            </w:r>
            <w:r>
              <w:rPr>
                <w:rFonts w:ascii="Times New Roman" w:hAnsi="Times New Roman"/>
              </w:rPr>
              <w:t>(ostra kolka nerkowa,   kamica nerki, kamica moczowodu, kamica pęcherza moczowego, kamica cewki moczowej)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86" w:leader="none"/>
              </w:tabs>
              <w:spacing w:before="0" w:after="0"/>
              <w:ind w:left="630" w:hanging="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Przyczyny, objawy i postępowanie w ostrej zanerkowej niewydolności nerek (nowotwory układu moczowego w tym rak nerki, rak urotelialny górnych dróg moczowych, rak pęcherza moczowego, rak gruczołu krokowego, rak jądra, rak cewki moczowej, rak prącia, inne nowotwory przestrzeni zaotrzewnowej i miednicy)</w:t>
            </w:r>
          </w:p>
          <w:p>
            <w:pPr>
              <w:pStyle w:val="Normal"/>
              <w:widowControl w:val="false"/>
              <w:spacing w:before="0" w:after="0"/>
              <w:ind w:left="630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Przyczyny, objawy i postępowanie w ostrej zanerkowej niewydolności nerek (łagodny rozrost gruczołu krokowego, neurogenna dysfunkcja dolnych dróg moczowych, urazy układu moczowego i płciowego)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b/>
              </w:rPr>
              <w:t>Zajęcia praktyczne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podmiotowe chorego ze schorzeniem urologicznym oraz ostrym schorzeniem urologicznym,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przedmiotowe i badania instrumentalne chorego,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laboratoryjne i obrazowe stosowane w diagnostyce urologicznej,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Stany nagłe i stany zagrożenia życia w urologii – prezentacja przypadków, omówienie: krwiomocz, kolka nerkowa, powikłania kamicy moczowej, całkowite zatrzymanie moczu, bezmocz wydalniczy, roponercze, ostre choroby naczyń nerkowych, „ostra moszna”, zgorzel Fourniera,  załupek, urazy układu moczowo-płciowego izolowane i współistniejące z urazami wielonarządowymi, wstrząs septyczny, choroba zatorowo-zakrzepowa)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doraźne zabiegi endourologiczne i operacje urologiczne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Zakażenia w urologii.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Przeprowadzanie podstawowego badania fizykalnego pacjenta dorosłego w zakresie niezbędnym do ustalenia jego stanu ze szczególnym uwzględnieniem badania urologicznego.</w:t>
            </w:r>
          </w:p>
          <w:p>
            <w:pPr>
              <w:pStyle w:val="Normal"/>
              <w:widowControl w:val="false"/>
              <w:spacing w:before="0" w:after="0"/>
              <w:ind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  Asysta przy podstawowych procedurach urologicznych</w:t>
            </w:r>
          </w:p>
          <w:p>
            <w:pPr>
              <w:pStyle w:val="Normal"/>
              <w:widowControl w:val="false"/>
              <w:spacing w:before="0" w:after="0"/>
              <w:ind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 Przeprowadzenie cewnikowania pęcherza moczowego u kobiety i mężczyzny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Cewnikowanie pęcherza moczowego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1.   Terminologia (definicje)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2.  Cewnikowanie przezcewkowe lub nadłonowe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3.  Cewnikowanie krótko- lub długoterminowe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4.  Zamknięty system odprowadzający mocz. Alternatywy, wskazania i przeciwwskazania </w:t>
            </w:r>
          </w:p>
          <w:p>
            <w:pPr>
              <w:pStyle w:val="Normal"/>
              <w:widowControl w:val="false"/>
              <w:spacing w:before="0" w:after="0"/>
              <w:ind w:left="204" w:hanging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5.  Cewniki stałe u dorosłych. Alternatywy dla umieszczenia cewnika stałego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6.  Wskazania do cewnikowania cewki moczowej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7.  Przeciwwskazania do cewnikowania cewki moczowej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8.  Wskazania do cewnikowania nadłonowego 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9.  Przeciwwskazania do cewnikowania nadłonowego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10. Zalety cewnikowania nadłonowego.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Rodzaje cewników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Cewnik jednodrożny.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Cewnik dwudrożny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Cewnik trójdrożny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Cewnik nadłonowy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Budowa cewnika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Rozmiar i długość średnicy cewnika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Konstrukcja końcówki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Rozmiar balonu i wypełnienie </w:t>
            </w:r>
          </w:p>
          <w:p>
            <w:pPr>
              <w:pStyle w:val="Normal"/>
              <w:widowControl w:val="false"/>
              <w:spacing w:before="0" w:after="0"/>
              <w:ind w:left="204" w:hanging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Worki drenażowe. Zamknięty system drenażowy. Worek na nogę / worek na ciało. Worek o dużej pojemności.  Worek na mocz jednorazowego użytku. 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Zabezpieczenia cewnika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Zasady cewnikowania pacjenta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Przygotowanie pacjenta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Procedura wprowadzania żeńskiego i męskiego cewnika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Procedura zakładania cewnika nadłonowego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Trudności, które mogą wystąpić podczas cewnikowania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Pielęgnacja cewnika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Odkażenie ujścia zewnętrznego cewki moczowej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Pielęgnacja cewnika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Opieka nad cewnikiem nadłonowym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Obserwacja i zarządzanie drenażem cewnika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Zaciskanie cewnika lub niezaciskanie. 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Zmiany moczu spowodowane rodzajem pokarmu i lekami </w:t>
            </w:r>
          </w:p>
          <w:p>
            <w:pPr>
              <w:pStyle w:val="Normal"/>
              <w:widowControl w:val="false"/>
              <w:spacing w:before="0" w:after="0"/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Wymiana cewników. Usunięcie cewników cewkowych i nadłonowych . Potencjalne problemy podczas usuwania cewnika i po nim. Powikłania odcewnikowe. Zakażenie dróg moczowych związane z cewnikiem. Zatkanie cewnika 13. Uraz jatrogenny podczas cewnikowania . Skurcze pęcherza. Ból pęcherza</w:t>
            </w:r>
          </w:p>
          <w:p>
            <w:pPr>
              <w:pStyle w:val="Normal"/>
              <w:widowControl w:val="false"/>
              <w:spacing w:before="0" w:after="0"/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Krwiomocz . Tworzenie ziarniniaków. Przeciek moczu. Niemożność usunięcia cewnika.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Rak płaskonabłonkowy przy długotrwałym cewnikowaniu.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Płukanie pęcherza, nawadnianie. Zasady płukania/ utrzymanie cewnika przy długoterminowym cewnikowaniu. 16. Analiza moczu - pobieranie.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Zapobieganie infekcjom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1). Podaż płynów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  Higiena rąk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Podstawowe zabiegi endoskopowe i laparoskopia w urologii.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Borkowski A. Urologia - podręcznik dla studentów medycyny.  Wydawnictwo Lekarskie PZWL, Warszawa, </w:t>
            </w:r>
            <w:r>
              <w:rPr>
                <w:rFonts w:ascii="Times New Roman" w:hAnsi="Times New Roman"/>
                <w:color w:val="212A51"/>
                <w:sz w:val="24"/>
                <w:szCs w:val="24"/>
                <w:shd w:fill="F7F8FB" w:val="clear"/>
              </w:rPr>
              <w:t>2015, wyd.2</w:t>
            </w:r>
          </w:p>
          <w:p>
            <w:pPr>
              <w:pStyle w:val="Normal"/>
              <w:widowControl w:val="false"/>
              <w:spacing w:before="0" w:after="0"/>
              <w:rPr>
                <w:rFonts w:ascii="Verdana" w:hAnsi="Verdana" w:eastAsia="Times New Roman"/>
                <w:b/>
                <w:b/>
                <w:bCs/>
                <w:color w:val="272727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>
              <w:rPr>
                <w:rFonts w:eastAsia="Times New Roman" w:ascii="Times New Roman" w:hAnsi="Times New Roman"/>
                <w:bCs/>
                <w:color w:val="272727"/>
                <w:sz w:val="24"/>
                <w:szCs w:val="24"/>
                <w:lang w:val="en-US" w:eastAsia="pl-PL"/>
              </w:rPr>
              <w:t xml:space="preserve">M.B. Siroky, R.D. Oates, R.K. Babayan.  </w:t>
            </w:r>
            <w:r>
              <w:rPr>
                <w:rFonts w:eastAsia="Times New Roman" w:ascii="Times New Roman" w:hAnsi="Times New Roman"/>
                <w:bCs/>
                <w:color w:val="272727"/>
                <w:sz w:val="24"/>
                <w:szCs w:val="24"/>
                <w:lang w:eastAsia="pl-PL"/>
              </w:rPr>
              <w:t>Redakcja naukowa wydania polskiego: Krzysztof Bar</w:t>
            </w:r>
            <w:r>
              <w:rPr>
                <w:rFonts w:eastAsia="Times New Roman" w:ascii="Georgia" w:hAnsi="Georgia"/>
                <w:color w:val="272727"/>
                <w:kern w:val="2"/>
                <w:sz w:val="48"/>
                <w:szCs w:val="48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color w:val="272727"/>
                <w:kern w:val="2"/>
                <w:sz w:val="24"/>
                <w:szCs w:val="24"/>
                <w:lang w:eastAsia="pl-PL"/>
              </w:rPr>
              <w:t xml:space="preserve">Podręcznik urologii. Diagnostyka i leczenie, </w:t>
            </w:r>
            <w:r>
              <w:rPr>
                <w:rFonts w:eastAsia="Times New Roman" w:ascii="Times New Roman" w:hAnsi="Times New Roman"/>
                <w:bCs/>
                <w:color w:val="272727"/>
                <w:sz w:val="24"/>
                <w:szCs w:val="24"/>
                <w:lang w:eastAsia="pl-PL"/>
              </w:rPr>
              <w:t>Wyd. Czelej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272727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ascii="Verdana" w:hAnsi="Verdana"/>
                <w:bCs/>
                <w:color w:val="272727"/>
                <w:sz w:val="21"/>
                <w:szCs w:val="21"/>
                <w:lang w:eastAsia="pl-PL"/>
              </w:rPr>
              <w:t>.</w:t>
            </w:r>
            <w:r>
              <w:rPr>
                <w:rFonts w:eastAsia="Times New Roman" w:ascii="Verdana" w:hAnsi="Verdana"/>
                <w:b/>
                <w:bCs/>
                <w:color w:val="272727"/>
                <w:sz w:val="21"/>
                <w:szCs w:val="21"/>
                <w:lang w:eastAsia="pl-PL"/>
              </w:rPr>
              <w:t xml:space="preserve"> </w:t>
            </w: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>Juszczak</w:t>
            </w:r>
            <w:r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K.,</w:t>
            </w: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Drewa T. </w:t>
            </w:r>
            <w:r>
              <w:rPr>
                <w:rFonts w:ascii="Times New Roman" w:hAnsi="Times New Roman"/>
                <w:sz w:val="24"/>
                <w:szCs w:val="24"/>
              </w:rPr>
              <w:t>Urologia ilustrowany podręcznik dla studentów i stażystów</w:t>
            </w:r>
            <w:r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PZWL, 2018,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Literatura uzupełniająca:  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>
            <w:pPr>
              <w:pStyle w:val="Default"/>
              <w:widowControl w:val="false"/>
              <w:rPr/>
            </w:pPr>
            <w:r>
              <w:rPr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lang w:val="en-US"/>
              </w:rPr>
              <w:t xml:space="preserve"> Chambers John B., David Sprigings. </w:t>
            </w:r>
            <w:r>
              <w:rPr/>
              <w:t xml:space="preserve">Stany nagłe w medycynie.  PZWL, Wrocław 2014. 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2. Sosada K. Ostre stany zagrożenia życia pochodzenia wewnętrznego. PZWL 2016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 (zna i rozumie)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mechanizmy prowadzące do nagłych zagrożeń zdrowia i życia</w:t>
            </w:r>
            <w:r>
              <w:rPr/>
              <w:t>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C.W17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przyczyny, objawy i postępowanie w ostrej niewydolności nerek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</w:rPr>
              <w:t>zasady postępowania z pacjentem z założonym cewnikiem zewnętrznym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C.W47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zasady cewnikowania pęcherza moczowego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C.W97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 (potrafi)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oceniać stan pacjenta w celu ustalenia sposobu postępowania ratunkowego,</w:t>
            </w:r>
            <w:r>
              <w:rPr>
                <w:rFonts w:ascii="Book Antiqua" w:hAnsi="Book Antiqua"/>
              </w:rPr>
              <w:t xml:space="preserve"> przeprowadzać badanie fizykalne pacjenta dorosłego w zakresie niezbędnym do ustalenia jego stanu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 xml:space="preserve">podejmuje i wykonuje medyczne czynności ratunkowe w stanach nagłego zagrożenia zdrowotnego </w:t>
            </w:r>
          </w:p>
          <w:p>
            <w:pPr>
              <w:pStyle w:val="Default"/>
              <w:widowControl w:val="fals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C.U2,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C.U29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zakładać cewnik do pęcherza moczowego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C.U23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wykonywać procedury medyczne pod nadzorem lub na zlecenie lekarza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lineRule="auto" w:line="360" w:before="1" w:after="0"/>
              <w:ind w:left="466" w:right="5" w:hanging="403"/>
              <w:jc w:val="both"/>
              <w:rPr/>
            </w:pPr>
            <w:r>
              <w:rPr/>
              <w:t>dostosowywać postępowanie ratunkowe do stanu pacjenta;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C.U66,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monitorować stan pacjenta podczas badania obrazowego.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C.U67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 (gotów do)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36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46" w:leader="none"/>
              </w:tabs>
              <w:spacing w:before="137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samodzielnego wykonywania zawodu zgodnie z zasadami etyki ogólnej i zawodowej oraz holistycznego i zindywidualizowanego podejścia do pacjenta, uwzględniającego poszanowanie jego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praw;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66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</w:rPr>
            </w:pPr>
            <w:r>
              <w:rPr>
                <w:rFonts w:eastAsia="SimSun" w:ascii="Book Antiqua" w:hAnsi="Book Antiqua"/>
                <w:iCs/>
                <w:kern w:val="2"/>
                <w:lang w:eastAsia="hi-IN" w:bidi="hi-IN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Book Antiqua" w:hAnsi="Book Antiqua"/>
                <w:iCs/>
                <w:kern w:val="2"/>
                <w:lang w:eastAsia="hi-IN" w:bidi="hi-IN"/>
              </w:rPr>
              <w:t>okazuje szacunek wobec pacjenta i zrozumienie dla różnic światopoglądowych i kulturowych. stawia dobro pacjenta na pierwszym miejscu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zajęć praktycznych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(prezentacji, 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programu:1.10.202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 r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Verdana">
    <w:charset w:val="ee"/>
    <w:family w:val="roman"/>
    <w:pitch w:val="variable"/>
  </w:font>
  <w:font w:name="Book Antiqu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6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e42ae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1"/>
    <w:qFormat/>
    <w:rsid w:val="00f310dc"/>
    <w:rPr>
      <w:rFonts w:ascii="Times New Roman" w:hAnsi="Times New Roman" w:eastAsia="Times New Roman" w:cs="Times New Roman"/>
      <w:sz w:val="24"/>
      <w:szCs w:val="24"/>
      <w:lang w:eastAsia="pl-PL" w:bidi="pl-PL"/>
    </w:rPr>
  </w:style>
  <w:style w:type="character" w:styleId="Nagwek1Znak" w:customStyle="1">
    <w:name w:val="Nagłówek 1 Znak"/>
    <w:basedOn w:val="DefaultParagraphFont"/>
    <w:uiPriority w:val="9"/>
    <w:qFormat/>
    <w:rsid w:val="00e42ae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e42aed"/>
    <w:rPr>
      <w:color w:val="0000FF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f80eaf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f310dc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d356bf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0094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Authorinfo" w:customStyle="1">
    <w:name w:val="author-info"/>
    <w:basedOn w:val="Normal"/>
    <w:qFormat/>
    <w:rsid w:val="00e42ae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e42ae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lertstock" w:customStyle="1">
    <w:name w:val="alert-stock"/>
    <w:basedOn w:val="Normal"/>
    <w:qFormat/>
    <w:rsid w:val="00e42ae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Application>LibreOffice/7.4.0.3$Windows_X86_64 LibreOffice_project/f85e47c08ddd19c015c0114a68350214f7066f5a</Application>
  <AppVersion>15.0000</AppVersion>
  <Pages>5</Pages>
  <Words>1169</Words>
  <Characters>7961</Characters>
  <CharactersWithSpaces>9120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2021-09-08T16:02:00Z</dcterms:created>
  <dc:creator>Krystyna Brzozowska - Przychodzeń</dc:creator>
  <dc:description/>
  <dc:language>pl-PL</dc:language>
  <cp:lastModifiedBy/>
  <dcterms:modified xsi:type="dcterms:W3CDTF">2022-09-04T08:55:33Z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