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0" w:after="28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</w:r>
    </w:p>
    <w:tbl>
      <w:tblPr>
        <w:tblW w:w="2844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6"/>
        <w:gridCol w:w="993"/>
        <w:gridCol w:w="3544"/>
        <w:gridCol w:w="2835"/>
        <w:gridCol w:w="1684"/>
        <w:gridCol w:w="7371"/>
        <w:gridCol w:w="1681"/>
        <w:gridCol w:w="9054"/>
      </w:tblGrid>
      <w:tr>
        <w:trPr>
          <w:trHeight w:val="100" w:hRule="atLeast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Transport w intensywnej terapii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 do dyspozycji Uczelni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(10 w., 10 ćw., 5 p.w.)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Anatomia człowieka, Patologia, Podstawy medycznych czynności ratunkowych, Pierwsza pomoc, Kwalifikowana pierwsza pomoc, Podstawowe zabiegi medyczne.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Założenia i cele uczenia się: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Zapoznanie studentów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wymaganiami wobec zespołu ambulansu  związanymi  z intensywną terapią pacjenta w czasie transportu, zabezpieczaniem i podtrzymywaniem funkcji życiowych poszkodowanych osób przy ograniczonych możliwościach terapeutycznych w porównaniu z warunkami szpitalnymi, pod presją warunków czasowych.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Kwalifikacja do transportu.  Zapoznanie z zasadami i specyfiką transportu w warunkach górskich oraz z pola walki i zdarzenia masowego.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Ćwiczenia: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Utrwalenie zdobytej wiedzy na wykładach. Zapoznanie studentów z poszczególnymi rodzajami transportu medycznego oraz odmiennościami postępowania wynikającego z różnorodności stanu chorobowego i wieku chorego. Wykorzystanie zdobytych wiadomości w praktyce.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W_01,02,03,04,05,06.07,08,09,10 oraz efekty U-01,02,03,04,05,06 -  będą sprawdzane podczas  zaprezentowanych   przez studentów  treści merytorycznych na określony temat – forma przekazu określona przez grupę np. prezentacja multimedialna, referat których rezultatem ma być napisanie procedury postępowania w wybranych zagadnieniach.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K.1.3.1, 1.3.5 - będą sprawdzane podczas ćwiczeń, w trakcie pracy indywidualnej i grupowej, poprzez dyskusję oraz wyrażanie swoich opinii na poszczególne problemy.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ćwiczenia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oceny z przygotowanych i przeprowadzonych form przekazu wiedzy na określony temat i sporządzonych procedur postępowania, oceny cząstkowe z ćwiczeń,  aktywność na ćwiczeniach oceniana na bieżąco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wykłady: zaliczenie na ocenę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Zaliczenie składa się z pytań zamkniętych(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 obejmujących materiał prezentowany na wykładach i uzupełniony wiedzą z literatury.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Ocena końcowa jest średnią oceny z ćwiczeń i wykładów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bardzo dobry (5,0) - 91% - 100%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dobry plus (4,5) – 81% - 90,99%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dobry (4,0) – 71% - 80,99%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dostateczny plus (3,5) -61% - 70,99%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dostateczny (3,0) – 51% - 60, 99%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niedostateczny  ( 2,0) - 0% -50,99%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930" w:hRule="atLeast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Wymagania wobec zespołu ambulansu  związane  z intensywną terapią pacjenta w czasie transportu,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Zabezpieczanie i podtrzymywanie funkcji życiowych poszkodowanych osób,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Zasady i specyfika transportu w warunkach górskich oraz z pola walki i zdarzenia masowego.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Działania służb medycznych w warunkach wypadków masowych i katastrof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Klasyfikacja ciężkości urazu i jakości życia po urazie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Wstrząs urazowy, resuscytacja w stanach pourazowych.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Farmakoterapia w traumatologii.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Monitorowanie pacjenta.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Mnogie i wielonarządowe oraz termiczne obrażenia ciała. 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Wybór miejsca docelowego leczenia.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Współdziałanie z Lotniczym Pogotowiem Ratunkowym.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Przygotowanie pacjenta do transportu i kwalifikacja do rodzaju transportu.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Monitorowanie pacjenta w czasie transportu.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Leki w ratownictwie medycznym.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Komunikacja z rodziną.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ćwiczenia: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Znajomość podstawowych leków interwencyjnych, tabel przeliczeniowych dawek i szybkości wlewów oraz omówienie niepożądanych objawów ubocznych.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Wspomaganie lub kontrola oddechu pacjenta, interpretacja parametrów monitorowania układów krążenia i oddechowego.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Badanie pacjenta urazowego. Kwalifikacja do dalszego leczenia. </w:t>
            </w:r>
            <w:r>
              <w:rPr>
                <w:rFonts w:ascii="Times New Roman" w:hAnsi="Times New Roman"/>
                <w:sz w:val="24"/>
                <w:szCs w:val="24"/>
              </w:rPr>
              <w:t>Organizacja postępowania w urazach i taktyka działania. Analiza postępowania ratunkowego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Style w:val="Strong"/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Style w:val="Strong"/>
                <w:rFonts w:ascii="Times New Roman" w:hAnsi="Times New Roman"/>
                <w:b w:val="false"/>
                <w:bCs w:val="false"/>
                <w:sz w:val="24"/>
                <w:szCs w:val="24"/>
              </w:rPr>
              <w:t>Wstrząs w chirurgii. Zaburzenia gospodarki wodno-elektrolitowe i kwasowo-zasadowej.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Style w:val="Strong"/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Style w:val="Strong"/>
                <w:rFonts w:ascii="Times New Roman" w:hAnsi="Times New Roman"/>
                <w:b w:val="false"/>
                <w:bCs w:val="false"/>
                <w:sz w:val="24"/>
                <w:szCs w:val="24"/>
              </w:rPr>
              <w:t>Kwalifikacja chorych do leczenia w ośrodkach specjalistycznych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Style w:val="Strong"/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Style w:val="Strong"/>
                <w:rFonts w:ascii="Times New Roman" w:hAnsi="Times New Roman"/>
                <w:b w:val="false"/>
                <w:bCs w:val="false"/>
                <w:sz w:val="24"/>
                <w:szCs w:val="24"/>
              </w:rPr>
              <w:t>Transport ciężarnych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Style w:val="Strong"/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Style w:val="Strong"/>
                <w:rFonts w:ascii="Times New Roman" w:hAnsi="Times New Roman"/>
                <w:b w:val="false"/>
                <w:bCs w:val="false"/>
                <w:sz w:val="24"/>
                <w:szCs w:val="24"/>
              </w:rPr>
              <w:t>Urazy kręgosłupa część praktyczna.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transportu chorych w traumatologii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Style w:val="Strong"/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Zasada „złotej godziny”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i obrażenia skojarzone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Farmakoterapia pacjenta po urazie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u kobiet w ciąży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Przekazanie pacjenta - współpraca z zespołem urazowym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Autospacing="1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Charakterystyka leków stosowanych w przedszpitalnych działaniach ratunkowych w urazach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Nagwek1"/>
              <w:keepNext w:val="true"/>
              <w:keepLines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76" w:beforeAutospacing="0" w:before="0" w:afterAutospacing="0" w:after="0"/>
              <w:rPr>
                <w:rFonts w:ascii="Cambria" w:hAnsi="Cambria" w:cs="" w:asciiTheme="majorHAnsi" w:cstheme="majorBidi" w:hAnsiTheme="majorHAnsi"/>
                <w:b w:val="false"/>
                <w:b w:val="false"/>
                <w:bCs w:val="false"/>
                <w:color w:val="365F91" w:themeColor="accent1" w:themeShade="bf"/>
                <w:sz w:val="24"/>
                <w:szCs w:val="24"/>
              </w:rPr>
            </w:pPr>
            <w:r>
              <w:rPr>
                <w:rStyle w:val="Value"/>
                <w:rFonts w:ascii="Times New Roman" w:hAnsi="Times New Roman"/>
                <w:b w:val="false"/>
                <w:color w:val="2A2A2A"/>
                <w:sz w:val="24"/>
                <w:szCs w:val="24"/>
              </w:rPr>
              <w:t>Flake F.</w:t>
            </w:r>
            <w:r>
              <w:rPr>
                <w:rStyle w:val="Value"/>
                <w:rFonts w:ascii="Times New Roman" w:hAnsi="Times New Roman"/>
                <w:b w:val="false"/>
                <w:bCs w:val="false"/>
                <w:color w:val="2A2A2A"/>
                <w:sz w:val="24"/>
                <w:szCs w:val="24"/>
              </w:rPr>
              <w:t>,</w:t>
            </w:r>
            <w:r>
              <w:rPr>
                <w:rStyle w:val="Value"/>
                <w:rFonts w:ascii="Times New Roman" w:hAnsi="Times New Roman"/>
                <w:b w:val="false"/>
                <w:color w:val="2A2A2A"/>
                <w:sz w:val="24"/>
                <w:szCs w:val="24"/>
              </w:rPr>
              <w:t xml:space="preserve"> Runggaldier</w:t>
            </w:r>
            <w:r>
              <w:rPr>
                <w:rStyle w:val="Name"/>
                <w:rFonts w:ascii="Times New Roman" w:hAnsi="Times New Roman"/>
                <w:b w:val="false"/>
                <w:bCs w:val="false"/>
                <w:color w:val="04478E"/>
                <w:sz w:val="24"/>
                <w:szCs w:val="24"/>
              </w:rPr>
              <w:t xml:space="preserve"> </w:t>
            </w:r>
            <w:r>
              <w:rPr>
                <w:rStyle w:val="Name"/>
                <w:rFonts w:ascii="Times New Roman" w:hAnsi="Times New Roman"/>
                <w:b w:val="false"/>
                <w:bCs w:val="false"/>
                <w:sz w:val="24"/>
                <w:szCs w:val="24"/>
              </w:rPr>
              <w:t>K., Ratownictwo medyczne</w:t>
            </w:r>
            <w:r>
              <w:rPr>
                <w:rStyle w:val="Name"/>
                <w:b w:val="false"/>
                <w:bCs w:val="false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Procedury od a do z. </w:t>
            </w:r>
            <w:r>
              <w:rPr>
                <w:rStyle w:val="Key"/>
                <w:rFonts w:ascii="Times New Roman" w:hAnsi="Times New Roman"/>
                <w:b w:val="false"/>
                <w:sz w:val="24"/>
                <w:szCs w:val="24"/>
              </w:rPr>
              <w:t>Wyd:</w:t>
            </w:r>
            <w:r>
              <w:rPr>
                <w:rFonts w:ascii="Times New Roman" w:hAnsi="Times New Roman"/>
                <w:b w:val="false"/>
                <w:color w:val="757575"/>
                <w:sz w:val="24"/>
                <w:szCs w:val="24"/>
              </w:rPr>
              <w:t> </w:t>
            </w:r>
            <w:r>
              <w:rPr>
                <w:rStyle w:val="Value"/>
                <w:rFonts w:ascii="Times New Roman" w:hAnsi="Times New Roman"/>
                <w:b w:val="false"/>
                <w:color w:val="2A2A2A"/>
                <w:sz w:val="24"/>
                <w:szCs w:val="24"/>
              </w:rPr>
              <w:t>Edra Urban &amp; Partner, Wrocław, 2021</w:t>
            </w:r>
          </w:p>
          <w:p>
            <w:pPr>
              <w:pStyle w:val="Nagwek1"/>
              <w:keepNext w:val="true"/>
              <w:keepLines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76" w:beforeAutospacing="0" w:before="0" w:afterAutospacing="0" w:after="0"/>
              <w:rPr>
                <w:rFonts w:ascii="Cambria" w:hAnsi="Cambria" w:cs="" w:asciiTheme="majorHAnsi" w:cstheme="majorBidi" w:hAnsiTheme="majorHAnsi"/>
                <w:b w:val="false"/>
                <w:b w:val="false"/>
                <w:bCs w:val="false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ITLS (International Trauma Life Support) - Ratownictwo przedszpitalne w urazach- J.E.  Campbell. MP. 2015</w:t>
            </w:r>
          </w:p>
          <w:p>
            <w:pPr>
              <w:pStyle w:val="Nagwek1"/>
              <w:keepNext w:val="true"/>
              <w:keepLines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76" w:beforeAutospacing="0" w:before="0" w:afterAutospacing="0" w:after="0"/>
              <w:rPr>
                <w:rFonts w:ascii="Cambria" w:hAnsi="Cambria" w:cs="" w:asciiTheme="majorHAnsi" w:cstheme="majorBidi" w:hAnsiTheme="majorHAnsi"/>
                <w:b w:val="false"/>
                <w:b w:val="false"/>
                <w:bCs w:val="false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Postępowanie przedszpitalne w obrażeniach ciała.  – Przemysław Guła. PZWL. 2015.</w:t>
            </w:r>
          </w:p>
          <w:p>
            <w:pPr>
              <w:pStyle w:val="Nagwek1"/>
              <w:keepNext w:val="true"/>
              <w:keepLines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76" w:beforeAutospacing="0" w:before="0" w:afterAutospacing="0" w:after="0"/>
              <w:rPr>
                <w:rFonts w:ascii="Cambria" w:hAnsi="Cambria" w:cs="" w:asciiTheme="majorHAnsi" w:cstheme="majorBidi" w:hAnsiTheme="majorHAnsi"/>
                <w:b w:val="false"/>
                <w:b w:val="false"/>
                <w:bCs w:val="false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Zaawansowane zabiegi resuscytacyjne i wybrane stany nagłe – J. Gucwa, T. Madej. MP. 2015.</w:t>
            </w:r>
          </w:p>
          <w:p>
            <w:pPr>
              <w:pStyle w:val="Nagwek1"/>
              <w:keepNext w:val="true"/>
              <w:keepLines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76" w:beforeAutospacing="0" w:before="0" w:afterAutospacing="0" w:after="0"/>
              <w:rPr>
                <w:rFonts w:ascii="Cambria" w:hAnsi="Cambria" w:cs="" w:asciiTheme="majorHAnsi" w:cstheme="majorBidi" w:hAnsiTheme="majorHAnsi"/>
                <w:b w:val="false"/>
                <w:b w:val="false"/>
                <w:bCs w:val="false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Rapid  Intensywna terapia w trakcie transportu – Chris Cebollero, A. Rosemery .  U&amp;P 2012</w:t>
            </w:r>
          </w:p>
          <w:p>
            <w:pPr>
              <w:pStyle w:val="Nagwek1"/>
              <w:keepNext w:val="true"/>
              <w:keepLines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76" w:beforeAutospacing="0" w:before="0" w:afterAutospacing="0" w:after="0"/>
              <w:rPr>
                <w:rFonts w:ascii="Cambria" w:hAnsi="Cambria" w:cs="" w:asciiTheme="majorHAnsi" w:cstheme="majorBidi" w:hAnsiTheme="majorHAnsi"/>
                <w:b w:val="false"/>
                <w:b w:val="false"/>
                <w:bCs w:val="false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RAPID Intensywna terapia w trakcie transportu R. Adam, C. Cebollero, </w:t>
            </w:r>
            <w:r>
              <w:rPr>
                <w:rFonts w:ascii="Times New Roman" w:hAnsi="Times New Roman"/>
                <w:b w:val="false"/>
                <w:sz w:val="24"/>
                <w:szCs w:val="24"/>
                <w:shd w:fill="FFFFFF" w:val="clear"/>
              </w:rPr>
              <w:t xml:space="preserve"> wyd. I polskie, red. J. Jakubaszko, 2012 r.</w:t>
            </w:r>
          </w:p>
          <w:p>
            <w:pPr>
              <w:pStyle w:val="Nagwek1"/>
              <w:keepNext w:val="true"/>
              <w:keepLines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76" w:beforeAutospacing="0" w:before="0" w:afterAutospacing="0" w:after="0"/>
              <w:rPr>
                <w:rFonts w:ascii="Cambria" w:hAnsi="Cambria" w:cs="" w:asciiTheme="majorHAnsi" w:cstheme="majorBidi" w:hAnsiTheme="majorHAnsi"/>
                <w:b w:val="false"/>
                <w:b w:val="false"/>
                <w:bCs w:val="false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Postępowanie w nagłych zagrożeniach zdrowotnych – Peter Sefrin i Rainer Schua, wyd. Urban α Partner Wrocław 2007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Zaawansowane zabiegi resuscytacyjne u dzieci i dorosłych, Materiały RRR, wytyczne z 2010r.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Ewakuacja i transport poszkodowanego. red. Liliany Styki, wyd. Górnicki wydawnictwo Medyczne, Wrocław 2008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Normal"/>
              <w:widowControl w:val="false"/>
              <w:spacing w:lineRule="auto" w:line="240" w:before="0" w:after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Wytyczne resuscytacji 2015 – J. Andres PRR Kraków 2016</w:t>
            </w:r>
          </w:p>
          <w:p>
            <w:pPr>
              <w:pStyle w:val="Normal"/>
              <w:widowControl w:val="false"/>
              <w:spacing w:lineRule="auto" w:line="240" w:before="0" w:after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Leki w  medycynie ratunkowej i intensywnej terapii – F.Flake, B. Lutomsky Elsevier U&amp;B Wrocław 2005</w:t>
            </w:r>
          </w:p>
          <w:p>
            <w:pPr>
              <w:pStyle w:val="Normal"/>
              <w:widowControl w:val="false"/>
              <w:spacing w:lineRule="auto" w:line="240" w:before="0" w:after="0"/>
              <w:ind w:left="317" w:hanging="3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Na ratunek -czasopismo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Efekty uczenia się (zna, rozumie)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Podstawy badania podmiotowego i przedmiotowego. Charakteryzuje stan zdrowia pacjenta.  Rozpoznaje stany zagrożenia życia. Prezentuje stan pacjenta przy użyciu powszechnie przyjętych skal punktowych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C.W25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Algorytm postępowania w stanach nagłego zagrożenia życia lub zdrowia.  Oblicza dawki leków. Zna leki stosowane w opiece przedszpitalnej i w transporcie. Rozróżnia, nazywa aparaturę medyczną, zna jej zastosowanie.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C.W20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ograniczenia bólu.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C.W19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Leki stosowane w opiece przedszpitalnej i w transporcie.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C.W20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Wskazania do układania pacjenta w pozycji właściwej do jego stanu lub odniesionych obrażeń.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C.W54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Powikłania i konsekwencje działań medycznych. Segreguje pacjentów.  Zna podstawowe mianownictwo medyczne. Zna zasady profilaktyki urazów. Definiuje jednostki chorobowe. Kwalifikuje pacjentów do transportu.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C.W54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C.W74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C.W82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C.W75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C.W86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C.W92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C.W93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Techniki przygotowania pacjenta do transportu w stanach i opieki medycznej w czasie transportu.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C.W76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Zasady transportu pacjentów z obrażeniami ciała.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C.W82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Parametry,  zabezpieczanie i podtrzymywanie funkcji życiowych poszkodowanych osób, przy ograniczonych możliwościach terapeutycznych w porównaniu z warunkami szpitalnymi, w szczególnych wymaganiach czasowych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C.W76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C.W63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Rolę i znaczenie LPR w systemie PRM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C.W103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UMIEJĘTNOŚCI(potrafi)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1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Oceniać ryzyko chorób, stopień zagrożenia zdrowia i życia potencjalnego pacjenta. Ocenia zdarzenia. Przewiduje postępowanie z pacjentem. Obsługuje podstawowy sprzęt medyczny. Modyfikuje algorytm ratunkowy w zależności od rodzaju zdarzenia i transportu. Bada poszkodowanego wg ITLS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C.U11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ar-SA"/>
              </w:rPr>
              <w:t>Wskazywać potrzebę wykonania badań dodatkowych i specjalistycznych w celu rozpoznania chorób ostrych i przewlekłych. Interpretuje wyniki badań dodatkowych. Analizuje dokumentacje. Monitoruje podstawowe funkcje życiowe.  Prowadzi czynności ratunkowe u dzieci.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C.U11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C.U14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C.U28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ar-SA"/>
              </w:rPr>
              <w:t>Przygotować pacjenta do transportu.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C.U26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6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Scharakteryzować pozycje ciała w czasie transportu, potrafi dobierać monitorowanie, unieruchamianie, środek transportu oraz pozycję ciała w czasie transportu.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C.U51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C.U52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44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Unieruchomić pacjenta do transportu i prowadzić monitorowanie parametrów życiowych w czasie transportu ciężarnej, noworodka, dziecka w stanie zagrożenia życia.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C.U61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C.U66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Identyfikować wskazania do transportu do centrum urazowego.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C.U64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KOMPETENCJE SPOŁECZNE(jest gotów do)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K.1.3.1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K.1.3.5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nakładu</w:t>
            </w:r>
          </w:p>
        </w:tc>
      </w:tr>
      <w:tr>
        <w:trPr>
          <w:trHeight w:val="506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Wykonanie zadań domowych (procedur postępowania)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Data opracowania programu: 1.10.202</w:t>
            </w: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opracowała: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rFonts w:ascii="Times New Roman" w:hAnsi="Times New Roman" w:eastAsia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44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fc1d03"/>
    <w:pPr>
      <w:spacing w:lineRule="auto" w:line="240" w:beforeAutospacing="1" w:afterAutospacing="1"/>
      <w:outlineLvl w:val="0"/>
    </w:pPr>
    <w:rPr>
      <w:rFonts w:ascii="Arial Unicode MS" w:hAnsi="Arial Unicode MS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qFormat/>
    <w:rsid w:val="00fc1d03"/>
    <w:pPr>
      <w:spacing w:lineRule="auto" w:line="240" w:beforeAutospacing="1" w:afterAutospacing="1"/>
      <w:outlineLvl w:val="1"/>
    </w:pPr>
    <w:rPr>
      <w:rFonts w:ascii="Arial Unicode MS" w:hAnsi="Arial Unicode MS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c18f3"/>
    <w:rPr/>
  </w:style>
  <w:style w:type="character" w:styleId="St1" w:customStyle="1">
    <w:name w:val="st1"/>
    <w:basedOn w:val="DefaultParagraphFont"/>
    <w:qFormat/>
    <w:rsid w:val="009d0dd5"/>
    <w:rPr/>
  </w:style>
  <w:style w:type="character" w:styleId="Strong">
    <w:name w:val="Strong"/>
    <w:basedOn w:val="DefaultParagraphFont"/>
    <w:qFormat/>
    <w:rsid w:val="00fc1d03"/>
    <w:rPr>
      <w:b/>
      <w:bCs/>
    </w:rPr>
  </w:style>
  <w:style w:type="character" w:styleId="Nagwek1Znak" w:customStyle="1">
    <w:name w:val="Nagłówek 1 Znak"/>
    <w:basedOn w:val="DefaultParagraphFont"/>
    <w:qFormat/>
    <w:rsid w:val="00fc1d03"/>
    <w:rPr>
      <w:rFonts w:ascii="Arial Unicode MS" w:hAnsi="Arial Unicode MS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qFormat/>
    <w:rsid w:val="00fc1d03"/>
    <w:rPr>
      <w:rFonts w:ascii="Arial Unicode MS" w:hAnsi="Arial Unicode MS" w:eastAsia="Times New Roman" w:cs="Times New Roman"/>
      <w:b/>
      <w:bCs/>
      <w:sz w:val="36"/>
      <w:szCs w:val="36"/>
      <w:lang w:eastAsia="pl-PL"/>
    </w:rPr>
  </w:style>
  <w:style w:type="character" w:styleId="Value" w:customStyle="1">
    <w:name w:val="value"/>
    <w:basedOn w:val="DefaultParagraphFont"/>
    <w:qFormat/>
    <w:rsid w:val="00e24ff7"/>
    <w:rPr/>
  </w:style>
  <w:style w:type="character" w:styleId="Name" w:customStyle="1">
    <w:name w:val="name"/>
    <w:basedOn w:val="DefaultParagraphFont"/>
    <w:qFormat/>
    <w:rsid w:val="00e24ff7"/>
    <w:rPr/>
  </w:style>
  <w:style w:type="character" w:styleId="Key" w:customStyle="1">
    <w:name w:val="key"/>
    <w:basedOn w:val="DefaultParagraphFont"/>
    <w:qFormat/>
    <w:rsid w:val="00e24ff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9d0dd5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Akapitzlist1" w:customStyle="1">
    <w:name w:val="Akapit z listą1"/>
    <w:basedOn w:val="Normal"/>
    <w:qFormat/>
    <w:rsid w:val="009d0dd5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uiPriority w:val="99"/>
    <w:qFormat/>
    <w:rsid w:val="00fc1d03"/>
    <w:pPr>
      <w:spacing w:lineRule="auto" w:line="240" w:beforeAutospacing="1" w:afterAutospacing="1"/>
    </w:pPr>
    <w:rPr>
      <w:rFonts w:ascii="Arial Unicode MS" w:hAnsi="Arial Unicode MS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LibreOffice/7.4.0.3$Windows_X86_64 LibreOffice_project/f85e47c08ddd19c015c0114a68350214f7066f5a</Application>
  <AppVersion>15.0000</AppVersion>
  <Pages>5</Pages>
  <Words>1203</Words>
  <Characters>8100</Characters>
  <CharactersWithSpaces>9123</CharactersWithSpaces>
  <Paragraphs>202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2016-03-30T12:40:00Z</dcterms:created>
  <dc:creator>Zbigniew Zwierz</dc:creator>
  <dc:description/>
  <dc:language>pl-PL</dc:language>
  <cp:lastModifiedBy/>
  <dcterms:modified xsi:type="dcterms:W3CDTF">2022-09-04T08:52:40Z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