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Sylabus przedmiotu</w:t>
      </w:r>
    </w:p>
    <w:tbl>
      <w:tblPr>
        <w:tblW w:w="28435" w:type="dxa"/>
        <w:jc w:val="left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276"/>
        <w:gridCol w:w="993"/>
        <w:gridCol w:w="3543"/>
        <w:gridCol w:w="2835"/>
        <w:gridCol w:w="1680"/>
        <w:gridCol w:w="7373"/>
        <w:gridCol w:w="1681"/>
        <w:gridCol w:w="9052"/>
      </w:tblGrid>
      <w:tr>
        <w:trPr>
          <w:trHeight w:val="100" w:hRule="atLeast"/>
        </w:trPr>
        <w:tc>
          <w:tcPr>
            <w:tcW w:w="10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Wyższa Szkoła Zawodowa Ochrony Zdrowia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Nazwa kierunku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Ratownictwo medyczne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Poziom studiów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studia pierwszego stopnia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Forma studiów 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studia stacjonarne/niestacjonarne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Nazwa przedmiotu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Seminarium I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 wykładowy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polski 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56" w:hRule="atLeast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Grupa zajęć 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 Przygotowanie do egzaminu dyplomowego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Rok studiów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trzeci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Semestr studiów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VI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Punkty ECTS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 sem,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Liczba godzin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 (20  sem, 55 p.w,)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585" w:hRule="atLeast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Przedmioty wprowadzające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Ukończony tok studiów do V semestru włącznie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1470" w:hRule="atLeast"/>
        </w:trPr>
        <w:tc>
          <w:tcPr>
            <w:tcW w:w="10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Założenia i cele przedmiotu: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Umiejętność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samodzielnego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rozwiązania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zagadnień dotyczących 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przygotowania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do </w:t>
            </w:r>
            <w:r>
              <w:rPr>
                <w:rFonts w:ascii="Times New Roman" w:hAnsi="Times New Roman"/>
                <w:spacing w:val="-4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egzaminu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dyplomowego   </w:t>
            </w:r>
            <w:r>
              <w:rPr>
                <w:rFonts w:ascii="Times New Roman" w:hAnsi="Times New Roman"/>
                <w:spacing w:val="-4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teoretycznego.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Umiejętność pracy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w warunkach właściwych dla pracy ratownika medycznego (SOR, karetka)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student powinien samodziel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nie formułować cele badania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pacjenta/poszkodowanego,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prowadzić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badania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wykorzystując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sprzęt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aparaturę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medyczną w miejscu pracy (SOR, karetka),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konstruowanie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wniosków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opracowanie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zagadnień wspomagających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przygotowanie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do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egzaminu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dyplomowego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praktycznego.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Złożenie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wynikiem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pozytywnym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egzaminu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dyplomowego,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kończącego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studia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pierwszego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stopnia.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73" w:hRule="atLeast"/>
        </w:trPr>
        <w:tc>
          <w:tcPr>
            <w:tcW w:w="10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Sposoby weryfikacji efektów uczenia się osiąganych przez studenta: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Efekty: W_01 – W_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 oraz U_ 01 – U_02 będą sprawdzane </w:t>
            </w:r>
            <w:r>
              <w:rPr/>
              <w:t xml:space="preserve">w trakcie seminariów  na podstawie znajomości poruszanych (rozwiązywanych) problemów, aktywności i zaangażowania studenta, </w:t>
            </w:r>
          </w:p>
          <w:p>
            <w:pPr>
              <w:pStyle w:val="TableParagraph"/>
              <w:widowControl w:val="false"/>
              <w:ind w:left="72" w:right="39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Efekty: K_01,  K_02 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4"/>
                <w:szCs w:val="24"/>
              </w:rPr>
              <w:t xml:space="preserve">będą sprawdzane w trakcie pracy w warunkach realnych, podczas wykonywania  czynności zawodowych,   podczas dyskusji i sposobu rozwiązania problemów, 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4"/>
                <w:szCs w:val="24"/>
              </w:rPr>
              <w:t>obserwacji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studenta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podczas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pracy w grupie.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10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Forma  i warunki zaliczenia:  zaliczenie na ocenę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Seminaria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zakończone są zaliczeniem na ocenę, na podstawie obowiązkowej obecności i zaangażowania w pracy.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Elementy składowe oceny:  Ocena końcowa jest średnią z ocen cząstkowych wystawianych na bieżąco. 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992" w:hRule="atLeast"/>
        </w:trPr>
        <w:tc>
          <w:tcPr>
            <w:tcW w:w="10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Treści programowe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auto" w:line="360" w:before="0" w:after="0"/>
              <w:ind w:left="720" w:right="19" w:hanging="0"/>
              <w:jc w:val="both"/>
              <w:rPr>
                <w:rFonts w:ascii="Times New Roman" w:hAnsi="Times New Roman"/>
                <w:b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Seminarium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hd w:val="clear" w:color="auto" w:fill="FFFFFF"/>
              <w:snapToGrid w:val="false"/>
              <w:spacing w:lineRule="auto" w:line="240" w:before="0" w:after="0"/>
              <w:ind w:left="706" w:right="19" w:hanging="360"/>
              <w:contextualSpacing/>
              <w:jc w:val="both"/>
              <w:rPr>
                <w:rFonts w:ascii="Times New Roman" w:hAnsi="Times New Roman"/>
                <w:b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Przygotowanie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do </w:t>
            </w:r>
            <w:r>
              <w:rPr>
                <w:rFonts w:ascii="Times New Roman" w:hAnsi="Times New Roman"/>
                <w:spacing w:val="-4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egzaminu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dyplomowego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teoretycznego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dyskusje studentów i prowadzącego na tematy dotyczące problematyki seminaryjnej, omówienie niektórych zagadnień związanych z egzaminem dyplomowym. </w:t>
            </w:r>
          </w:p>
          <w:p>
            <w:pPr>
              <w:pStyle w:val="Normal"/>
              <w:widowControl w:val="false"/>
              <w:spacing w:lineRule="auto" w:line="240"/>
              <w:ind w:left="63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Obejmuje wiadomości z zakresu ratownictwa medycznego oraz medycyny ratunkowej z elementami medycyny katastrof, oraz wiedzę teoretyczną z realizowanych w toku studiów przedmiotów.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Praca studenta w warunkach typowych dla ratownictwa medycznego, obserwacja, umiejętności rozwiązywania problemów na bieżąco.</w:t>
            </w:r>
          </w:p>
          <w:p>
            <w:pPr>
              <w:pStyle w:val="Default"/>
              <w:widowControl w:val="false"/>
              <w:rPr/>
            </w:pPr>
            <w:r>
              <w:rPr/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85" w:hRule="atLeast"/>
        </w:trPr>
        <w:tc>
          <w:tcPr>
            <w:tcW w:w="10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Literatura podstawowa: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Podstawowe podręczniki do przedmiotów,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Czasopisma i publikacje naukowe związane z ratownictwem medycznym.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Literatura uzupełniająca:  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Strony internetowe, 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Materiały wykładowców.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Symbol efektu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Efekty uczenia się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Symbol efektu kierunkowego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41" w:hRule="atLeast"/>
        </w:trPr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WIEDZA</w:t>
            </w:r>
          </w:p>
        </w:tc>
        <w:tc>
          <w:tcPr>
            <w:tcW w:w="16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410" w:hRule="atLeast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08"/>
                <w:tab w:val="left" w:pos="2230" w:leader="none"/>
              </w:tabs>
              <w:spacing w:lineRule="auto" w:line="254"/>
              <w:ind w:left="71" w:right="78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zna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rozumie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zasady</w:t>
            </w:r>
            <w:r>
              <w:rPr>
                <w:spacing w:val="-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postępowania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schorzeniach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wszystkich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grupach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ratowniczych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z</w:t>
            </w:r>
            <w:r>
              <w:rPr>
                <w:spacing w:val="-47"/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uwzględnieniem</w:t>
              <w:tab/>
            </w:r>
            <w:r>
              <w:rPr>
                <w:spacing w:val="-1"/>
                <w:sz w:val="24"/>
                <w:szCs w:val="24"/>
              </w:rPr>
              <w:t>odrębności</w:t>
            </w:r>
            <w:r>
              <w:rPr>
                <w:spacing w:val="-4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uzależnionych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od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wieku;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C.W1,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C.W3,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C.W67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69" w:hRule="atLeast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W_02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08"/>
              <w:ind w:left="71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zna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rozumie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symptomatologię ogólną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zaburzeń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funkcjonowania</w:t>
            </w:r>
          </w:p>
          <w:p>
            <w:pPr>
              <w:pStyle w:val="TableParagraph"/>
              <w:widowControl w:val="false"/>
              <w:ind w:left="71" w:right="249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układów, narządów i zasady ich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klasyfikacji według głównych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systemów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klasyfikacyjnych,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zasady </w:t>
            </w:r>
            <w:r>
              <w:rPr>
                <w:spacing w:val="-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ich diagnozowania i postępowania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terapeutycznego;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C.W9,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C.W10,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C.W15,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C.W23,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C.W41,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C.W102,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C.W103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570" w:hRule="atLeast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W_03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zna i rozumie mechanizmy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prowadzące do nagłych zagrożeń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zdrowia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życia,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zasady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postepowania </w:t>
            </w:r>
            <w:r>
              <w:rPr>
                <w:rFonts w:ascii="Times New Roman" w:hAnsi="Times New Roman"/>
                <w:spacing w:val="-4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ratunkowego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warunkach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przedszpitalnych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szpitalnych.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1"/>
              <w:ind w:left="346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C.W17,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C.W18,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C.W36,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C.W42,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C.W43,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C.W44,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C.W46,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C.W55,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C.W56,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C.W61,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C.W62,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C.W64,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C.W65,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C.W78,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C.W83,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C.W86,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C.W92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920" w:hRule="atLeast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W_04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zna i rozumie zasady badania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podmiotowego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 przedmiotowego w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zakresie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niezbędnym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do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prowadzenia</w:t>
            </w:r>
            <w:r>
              <w:rPr>
                <w:rFonts w:ascii="Times New Roman" w:hAnsi="Times New Roman"/>
                <w:spacing w:val="-4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medycznych czynności ratunkowych</w:t>
            </w:r>
            <w:r>
              <w:rPr>
                <w:rFonts w:ascii="Times New Roman" w:hAnsi="Times New Roman"/>
                <w:spacing w:val="-4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we wszystkich grupach ratowniczych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C.W24,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C.W25,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1320" w:hRule="atLeast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W_05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71" w:right="106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zna i rozumie techniki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medycznych czynności ratunkowych</w:t>
            </w:r>
            <w:r>
              <w:rPr>
                <w:spacing w:val="-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wykonywanych samodzielnie i na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zlecenie lekarza przez ratownika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medycznego</w:t>
            </w:r>
          </w:p>
          <w:p>
            <w:pPr>
              <w:pStyle w:val="TableParagraph"/>
              <w:widowControl w:val="false"/>
              <w:spacing w:before="5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C.W50,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C.W53,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C.W79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85" w:hRule="atLeast"/>
        </w:trPr>
        <w:tc>
          <w:tcPr>
            <w:tcW w:w="10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UMIEJĘTNOŚCI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543" w:hRule="atLeast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U_01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54"/>
              <w:ind w:left="71" w:right="8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Potrafi wykorzystać podstawową wiedzę teoretyczną i dostępne źródła informacji w celu analizowania poszczególnych zdarzeń i zagadnień szczegółowych dotyczących ratownictwa medycznego, wykorzystując umiejętność prawidłowego wnioskowania.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C.U1,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C.U15,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C.U27,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C.U62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U_02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Wykorzystuje dostępne źródła informacji, w tym elektroniczne oraz programy informatyczne do opisu zjawisk zachodzących w ratownictwie medycznym i opisu danych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C.U1,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C.U15,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C.U27,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C.U62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10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KOMPETENCJE SPOŁECZNE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511" w:hRule="atLeast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Posiada świadomość </w:t>
            </w:r>
            <w:r>
              <w:rPr>
                <w:rFonts w:ascii="Times New Roman" w:hAnsi="Times New Roman"/>
                <w:spacing w:val="-4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konieczności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ustawicznego </w:t>
            </w:r>
            <w:r>
              <w:rPr>
                <w:rFonts w:ascii="Times New Roman" w:hAnsi="Times New Roman"/>
                <w:spacing w:val="-4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dokształcania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się.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K. 1.3.5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57" w:hRule="atLeast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K_02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Kierowania się dobrem pacjenta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K. 1.3.6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525" w:hRule="atLeast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05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Bilans nakładu pracy studenta w godzinach</w:t>
            </w:r>
          </w:p>
        </w:tc>
        <w:tc>
          <w:tcPr>
            <w:tcW w:w="905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0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nakładu </w:t>
            </w:r>
          </w:p>
        </w:tc>
      </w:tr>
      <w:tr>
        <w:trPr>
          <w:trHeight w:val="506" w:hRule="atLeast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Aktywność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Obciążenie studenta (godz.)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054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0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45" w:hRule="atLeast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Udział w  seminarium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37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6" w:hRule="atLeast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Udział w zajęciach praktycznych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73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Samodzielne przygotowanie się do seminarium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41" w:hRule="atLeast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>Samodzielne przygotowanie się do zajęć praktycznych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20" w:hRule="atLeast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>Wykonanie zadań domowych (sprawozdań)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40" w:hRule="atLeast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>Udział w konsultacjach z przedmiotu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44" w:hRule="atLeast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>Przygotowanie się do egzaminu i obecność na egzaminie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78" w:hRule="atLeast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pl-PL"/>
              </w:rPr>
              <w:t>Sumaryczne obciążenie pracą studenta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 (20  sem, 55 p.w,)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85" w:hRule="atLeast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pl-PL"/>
              </w:rPr>
              <w:t>Punkty ECTS za przedmiot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17" w:hRule="atLeast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>Nakład pracy studenta związany z zajęciami wymagającymi  bezpośredniego udziału nauczyciela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97" w:hRule="atLeast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>Nakład pracy studenta związany z pracą własną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525" w:hRule="atLeast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 xml:space="preserve">Jednostka realizująca: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Wyższa Szkoła Zawodowa Ochrony Zdrowia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Osoby prowadzące: 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88" w:hRule="atLeast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>Data opracowania programu:1.10.202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>2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Program opracował/a: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</w:tbl>
    <w:p>
      <w:pPr>
        <w:pStyle w:val="Normal"/>
        <w:spacing w:lineRule="auto" w:line="240"/>
        <w:jc w:val="right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06" w:hanging="360"/>
      </w:pPr>
      <w:rPr>
        <w:b w:val="false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6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46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66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586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06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26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46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66" w:hanging="18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356bf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ytuZnak" w:customStyle="1">
    <w:name w:val="Tytuł Znak"/>
    <w:basedOn w:val="DefaultParagraphFont"/>
    <w:uiPriority w:val="1"/>
    <w:qFormat/>
    <w:rsid w:val="00d11cef"/>
    <w:rPr>
      <w:rFonts w:ascii="Times New Roman" w:hAnsi="Times New Roman" w:eastAsia="Times New Roman" w:cs="Times New Roman"/>
      <w:b/>
      <w:bCs/>
      <w:sz w:val="64"/>
      <w:szCs w:val="6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d356bf"/>
    <w:pPr>
      <w:spacing w:before="0" w:after="200"/>
      <w:ind w:left="720" w:hanging="0"/>
      <w:contextualSpacing/>
    </w:pPr>
    <w:rPr/>
  </w:style>
  <w:style w:type="paragraph" w:styleId="TableParagraph" w:customStyle="1">
    <w:name w:val="Table Paragraph"/>
    <w:basedOn w:val="Normal"/>
    <w:uiPriority w:val="1"/>
    <w:qFormat/>
    <w:rsid w:val="00286d7c"/>
    <w:pPr>
      <w:widowControl w:val="false"/>
      <w:spacing w:lineRule="auto" w:line="240" w:before="0" w:after="0"/>
    </w:pPr>
    <w:rPr>
      <w:rFonts w:ascii="Times New Roman" w:hAnsi="Times New Roman" w:eastAsia="Times New Roman"/>
    </w:rPr>
  </w:style>
  <w:style w:type="paragraph" w:styleId="Tytu">
    <w:name w:val="Title"/>
    <w:basedOn w:val="Normal"/>
    <w:link w:val="TytuZnak"/>
    <w:uiPriority w:val="1"/>
    <w:qFormat/>
    <w:rsid w:val="00d11cef"/>
    <w:pPr>
      <w:widowControl w:val="false"/>
      <w:spacing w:lineRule="auto" w:line="240" w:before="423" w:after="0"/>
      <w:ind w:left="1208" w:right="1209" w:hanging="0"/>
      <w:jc w:val="center"/>
    </w:pPr>
    <w:rPr>
      <w:rFonts w:ascii="Times New Roman" w:hAnsi="Times New Roman" w:eastAsia="Times New Roman"/>
      <w:b/>
      <w:bCs/>
      <w:sz w:val="64"/>
      <w:szCs w:val="64"/>
    </w:rPr>
  </w:style>
  <w:style w:type="paragraph" w:styleId="Default" w:customStyle="1">
    <w:name w:val="Default"/>
    <w:qFormat/>
    <w:rsid w:val="00806145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286d7c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7A080-9841-4B74-B2A2-DA6B818F2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755</TotalTime>
  <Application>LibreOffice/7.4.0.3$Windows_X86_64 LibreOffice_project/f85e47c08ddd19c015c0114a68350214f7066f5a</Application>
  <AppVersion>15.0000</AppVersion>
  <Pages>4</Pages>
  <Words>623</Words>
  <Characters>4356</Characters>
  <CharactersWithSpaces>4933</CharactersWithSpaces>
  <Paragraphs>120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2021-09-08T16:02:00Z</dcterms:created>
  <dc:creator>Krystyna Brzozowska - Przychodzeń</dc:creator>
  <dc:description/>
  <dc:language>pl-PL</dc:language>
  <cp:lastModifiedBy/>
  <dcterms:modified xsi:type="dcterms:W3CDTF">2022-09-03T21:48:58Z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