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Sylabus przedmiotu.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993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Praktyki śródroczne. Zespół Ratownictwa Medycznego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drugi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III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50 h zajęć praktycznych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 w urazach; Choroby wewnętrzne z elementami onkologii;  Farmakologia i toksykologia kliniczna; Medycyna ratunkowa; Medyczne czynności ratunkowe; Techniki zabiegów medycznych; Chirurgia.</w:t>
            </w:r>
          </w:p>
        </w:tc>
      </w:tr>
      <w:tr>
        <w:trPr>
          <w:trHeight w:val="814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uczenia się: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Doskonalenie umiejętności w zakresie medycznych czynności ratunkowych i procedur przedszpitalnych w ramach zespołów wyjazdowych.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Efekty: W_01,02,03,04,05,06,07 – będą zweryfikowane w czasie wykonywania czynności u pacjenta/poszkodowanego w ramach ZRM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 – będą ocenione w trakcie wykonywanych czynnościach w ramach ZRM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 -  będą sprawdzone podczas zajęć,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 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Zajęcia praktyczne </w:t>
            </w:r>
            <w:r>
              <w:rPr>
                <w:rFonts w:cs="Calibri" w:cstheme="minorHAnsi"/>
              </w:rPr>
              <w:t>: oceny cząstkowe z wykonywanych zadań u pacjenta/poszkodowanego oraz ustnego ich uzasadnienia.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Treści programowe: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u w:val="single"/>
              </w:rPr>
              <w:t>Wykłady: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Zasady aseptyki i antyseptyki oraz higieny w procedurach medycznych.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Diagnozowanie, monitorowanie pacjentów w stanach zagrożenia życia w warunkach przedszpitalnych w różnych grupach wiekowych.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Zabezpieczanie dróg oddechowych, prowadzenie wentylacji i tlenoterapia w różnych grupach wiekowych.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Prowadzenie resuscytacji krążeniowo-oddechowo w różnych grupach wiekowych wg aktualnych wytycznych.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Prowadzenie farmakoterapii w stanach zagrożenia życia.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Postępowanie z pacjentem nieurazowym i urazowym w działaniach ZRM.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  <w:u w:val="single"/>
              </w:rPr>
              <w:t>Zajęcia praktyczne: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Postępowanie aseptyczne, antyseptyczne, higieniczne mycie rąk.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Pomiar, ocena i różnicowanie wartości parametrów życiowych w trzech grupach ratowniczych.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Monitorowanie podstawowych funkcji życiowych.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Ocena stanu pacjenta wg schematów AVPU i ABCDE 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Prowadzenie wywiadu wg schematu SAMPLE 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Wykonanie zapisu elektrokardiograficznego (EKG) osoby dorosłej.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Prowadzenie dokumentacji medycznej pacjenta/poszkodowanego.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Przygotowanie sprzętu do iniekcji i infuzji, technika posługiwania się sprzętem jednorazowego użytku.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Rozpuszczanie, rozcieńczanie i nabieranie leków z ampułki lub fiolki.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Wstrzyknięcia podskórne, domięśniowe, dożylne, doszpikowe na zlecenie i pod nadzorem kierownika ZRM.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Podłączenie pompy infuzyjnej.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Pomiar stężenia glukozy we krwi przy użyciu gleukometru.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Udział w zespole terapeutycznym w przypadku NZK.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Elektroterapia: defibrylacja, kardiowersja, elektrostymulacja.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Przywrócenie i utrzymanie drożności dróg oddechowych: intubacja dotchawicza i zabezpieczenia alternatywne.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Wentylacja i tlenoterapia.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Farmakoterapia i płynoterapia ratunkowa.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Bezpieczeństwo w ratownictwie, ocena i zabezpieczenie miejsca zdarzenia.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Postępowanie z pacjentem urazowym wg. zaleceń ITLS.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Medyczne czynności ratunkowe we wstrząsie.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  <w:b/>
              </w:rPr>
              <w:t>Ocena bólu i analgezja w ratownictwie.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rFonts w:cs="Calibri" w:cstheme="minorHAnsi"/>
                <w:b/>
              </w:rPr>
              <w:t>Etyka działań ratowniczych.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>
                <w:rFonts w:cs="Calibri" w:cstheme="minorHAnsi"/>
                <w:b/>
              </w:rPr>
              <w:t>Prebryfing i debryfing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Andres J. Wytyczne Resuscytacji 2015. Polska Rada Resuscytacji. Kraków 2016.</w:t>
            </w:r>
          </w:p>
          <w:p>
            <w:pPr>
              <w:pStyle w:val="Default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en-US"/>
              </w:rPr>
              <w:t xml:space="preserve">Campbell JE, Alson RL, International Trauma Life Support.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Ratownictwo przedszpitalne w urazach (ITLS), Medycyna Praktyczna, Wrocław 2017.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Guła P., Machała W., Postępowanie przedszpitalne w obrażeniach ciała. </w:t>
            </w:r>
            <w:r>
              <w:rPr>
                <w:rFonts w:cs="Calibri" w:cstheme="minorHAnsi"/>
                <w:lang w:val="en-US"/>
              </w:rPr>
              <w:t>Wydawnictwo PZWL, Warszawa 2015.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cs="Calibri" w:cstheme="minorHAnsi"/>
              </w:rPr>
              <w:t>Atkinson P. et al: Medycyna ratunkowa, (red. wyd. pol. Jakubaszko J.), Wydawnictwo Medyczne Urban &amp; Partner, Wrocław 2012.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Gregory P., Mursell I., Diagnostyka i postępowanie w ratownictwie medycznym (red. wyd. pol. Smerka J.), Wydawnictwo Medyczne Górnicki, Wrocław 2013.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Flake F., Runggaldier K.: Ratownictwo medyczne: procedury od A do Z, (red. wyd. pol. Maślanka M.), Wydawnictwo Medyczne Elsevier Urban &amp; Partner, Wrocław 2012.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Trott A., Rany i obrażenia: zaopatrywanie i pielęgnacja w stanach nagłych (red. wyd. pol. Jawień A.), Wydawnictwo Medyczne Elsevier Urban &amp; Partner, Wrocław 2013.</w:t>
            </w:r>
          </w:p>
        </w:tc>
      </w:tr>
      <w:tr>
        <w:trPr>
          <w:trHeight w:val="330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Efekty uczenia się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Wiedza(zna i rozumie)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aseptyki i antyseptyki oraz higieny w procedurach medycznych.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C.W51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diagnozowania, oceny i monitorowania pacjentów w stanach zagrożenia w warunkach przedszpitalnych w różnych grupach wiekowych.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zabezpieczania dróg oddechowych, prowadzenia wentylacji i tlenoterapii w różnych grupach wiekowych.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C.W58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C.W59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C.W60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prowadzenia resuscytacji krążeniowo oddechowej w różnych grupach wiekowych wg aktualnych wytycznych.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C.W56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C.W61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C.W55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prowadzenia farmakoterapii i płynoterapii w stanach zagrożenia życia.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C.W20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Procedury specjalistyczne w stanach nagłych pochodzenia urazowego.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C.W92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Zasady funkcjonowania systemu PRM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C.W102</w:t>
            </w:r>
          </w:p>
        </w:tc>
      </w:tr>
      <w:tr>
        <w:trPr>
          <w:trHeight w:val="49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</w:rPr>
              <w:t>Umiejętności(potrafi)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Oceniać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C.U10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Monitorować funkcje życiowe z wykorzystaniem dostępnego sprzętu medycznego.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EKG i interpretować go w podstawowym zakresie.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C.U13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Udrażniać i zabezpieczać drogi oddechowe, prowadzić wentylację i tlenoterapię w różnych grupach wiekowych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C.U43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Prowadzić resuscytację krążeniowo oddechową wg. aktualnych wytycznych z wykorzystaniem dostępnego sprzętu wspomagającego RKO.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Prowadzić medyczne czynności ratunkowe wg. ITLS w przypadku urazów z zastosowaniem priorytetów medyczno-transportowych.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C.U63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K1.3.1.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K1.3.2.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Osoby prowadzące: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</w:t>
            </w:r>
            <w:r>
              <w:rPr>
                <w:rFonts w:eastAsia="Times New Roman" w:cs="Calibri" w:cstheme="minorHAnsi"/>
              </w:rPr>
              <w:t>2</w:t>
            </w:r>
            <w:r>
              <w:rPr>
                <w:rFonts w:eastAsia="Times New Roman" w:cs="Calibri" w:cstheme="minorHAnsi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Program opracowała: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3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paragraph" w:styleId="NoSpacing">
    <w:name w:val="No Spacing"/>
    <w:uiPriority w:val="1"/>
    <w:qFormat/>
    <w:rsid w:val="00d854c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5491-91AC-467C-AE9A-BAB840EB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Application>LibreOffice/7.4.0.3$Windows_X86_64 LibreOffice_project/f85e47c08ddd19c015c0114a68350214f7066f5a</Application>
  <AppVersion>15.0000</AppVersion>
  <Pages>4</Pages>
  <Words>881</Words>
  <Characters>6051</Characters>
  <CharactersWithSpaces>6746</CharactersWithSpaces>
  <Paragraphs>173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2022-09-03T20:48:13Z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