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E2" w:rsidRDefault="001930DB">
      <w:pPr>
        <w:pStyle w:val="Heading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Sylabus przedmiotu</w:t>
      </w:r>
    </w:p>
    <w:tbl>
      <w:tblPr>
        <w:tblW w:w="10329" w:type="dxa"/>
        <w:tblInd w:w="-459" w:type="dxa"/>
        <w:tblLayout w:type="fixed"/>
        <w:tblLook w:val="04A0"/>
      </w:tblPr>
      <w:tblGrid>
        <w:gridCol w:w="1274"/>
        <w:gridCol w:w="994"/>
        <w:gridCol w:w="2862"/>
        <w:gridCol w:w="3517"/>
        <w:gridCol w:w="1682"/>
      </w:tblGrid>
      <w:tr w:rsidR="00C147E2">
        <w:trPr>
          <w:trHeight w:val="1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Wyższa Szkoła Zawodowa Ochrony Zdrowia</w:t>
            </w:r>
          </w:p>
        </w:tc>
      </w:tr>
      <w:tr w:rsidR="00C147E2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Ratownictwo medyczne</w:t>
            </w:r>
          </w:p>
        </w:tc>
      </w:tr>
      <w:tr w:rsidR="00C147E2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pierwszego stopnia</w:t>
            </w:r>
          </w:p>
        </w:tc>
      </w:tr>
      <w:tr w:rsidR="00C147E2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studia niestacjonarne</w:t>
            </w:r>
          </w:p>
        </w:tc>
      </w:tr>
      <w:tr w:rsidR="00C147E2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Praktyki śródroczne. Oddział </w:t>
            </w:r>
            <w:proofErr w:type="spellStart"/>
            <w:r>
              <w:rPr>
                <w:rFonts w:cstheme="minorHAnsi"/>
                <w:b/>
              </w:rPr>
              <w:t>Nerologii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</w:tr>
      <w:tr w:rsidR="00C147E2">
        <w:trPr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polski</w:t>
            </w:r>
          </w:p>
        </w:tc>
      </w:tr>
      <w:tr w:rsidR="00C147E2">
        <w:trPr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D. Praktyki zawodowe</w:t>
            </w:r>
          </w:p>
        </w:tc>
      </w:tr>
      <w:tr w:rsidR="00C147E2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trzeci</w:t>
            </w:r>
          </w:p>
        </w:tc>
      </w:tr>
      <w:tr w:rsidR="00C147E2">
        <w:trPr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</w:t>
            </w:r>
          </w:p>
        </w:tc>
      </w:tr>
      <w:tr w:rsidR="00C147E2">
        <w:trPr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147E2">
        <w:trPr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50 h zajęć praktycznych</w:t>
            </w:r>
          </w:p>
        </w:tc>
      </w:tr>
      <w:tr w:rsidR="00C147E2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Choroby wewnętrzne z elementami onkologii;  Farmakologia i toksykologia kliniczna; Medycyna </w:t>
            </w:r>
            <w:r>
              <w:rPr>
                <w:rFonts w:cstheme="minorHAnsi"/>
              </w:rPr>
              <w:t>ratunkowa; Medyczne czynności ratunkowe; Procedury ratunkowe wewnątrzszpitalne.</w:t>
            </w:r>
          </w:p>
        </w:tc>
      </w:tr>
      <w:tr w:rsidR="00C147E2">
        <w:trPr>
          <w:trHeight w:val="9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Założenia i cele kształcenia:</w:t>
            </w:r>
          </w:p>
          <w:p w:rsidR="00C147E2" w:rsidRDefault="001930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Przygotowanie studenta do sprawowania profesjonalnej opieki ratownika medycznego nad pacjentem z dysfunkcją układu nerwowego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147E2">
        <w:trPr>
          <w:trHeight w:val="273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Sposoby </w:t>
            </w:r>
            <w:r>
              <w:rPr>
                <w:rFonts w:cstheme="minorHAnsi"/>
                <w:b/>
              </w:rPr>
              <w:t>weryfikacji efektów kształcenia osiąganych przez studenta:</w:t>
            </w:r>
          </w:p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Efekty: W_01,02,03,04,05,06,07,08,09,10  – będą zweryfikowane w czasie wykonywania czynności u pacjenta  oddziału neurologii.</w:t>
            </w:r>
          </w:p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Efekty: U_01,02,03,04,05,06 – będą ocenione w trakcie zajęć w oddziale </w:t>
            </w:r>
            <w:r>
              <w:rPr>
                <w:rFonts w:cstheme="minorHAnsi"/>
              </w:rPr>
              <w:t>neurologicznym.</w:t>
            </w:r>
          </w:p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Efekty : K_01,02,03,04 -  będą sprawdzone podczas zajęć, w trakcie pracy indywidualnej i grupowej.</w:t>
            </w:r>
          </w:p>
        </w:tc>
      </w:tr>
      <w:tr w:rsidR="00C147E2">
        <w:trPr>
          <w:trHeight w:val="300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  i warunki zaliczenia : zaliczenie na ocenę</w:t>
            </w:r>
          </w:p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Obecność na  zajęciach obowiązkowa</w:t>
            </w:r>
          </w:p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>
              <w:rPr>
                <w:rFonts w:cstheme="minorHAnsi"/>
              </w:rPr>
              <w:t xml:space="preserve">: oceny cząstkowe z wykonywanych </w:t>
            </w:r>
            <w:r>
              <w:rPr>
                <w:rFonts w:cstheme="minorHAnsi"/>
              </w:rPr>
              <w:t>zadań u pacjenta oddziału neurologii  oraz ustnego ich uzasadnienia.</w:t>
            </w:r>
          </w:p>
        </w:tc>
      </w:tr>
      <w:tr w:rsidR="00C147E2">
        <w:trPr>
          <w:trHeight w:val="992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programowe:</w:t>
            </w:r>
          </w:p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Wykłady: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t>Organizacja pracy w oddziałach neurologii.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="Calibri"/>
              </w:rPr>
              <w:t>Przyczyny, objawy, zasady diagnozowania i postępowania terapeutycznego w  chorobach naczyniowych mózgu (udar mózgu,</w:t>
            </w:r>
            <w:r>
              <w:rPr>
                <w:rFonts w:cs="Calibri"/>
              </w:rPr>
              <w:t xml:space="preserve"> krwotok podpajęczynówkowy) oraz padaczce.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</w:rPr>
              <w:t>Przyczyny, objawy, zasady diagnozowania i postępowania terapeutycznego w zakażeniach układu nerwowego, w szczególności w zapaleniu opon mózgowo-rdzeniowych.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</w:rPr>
              <w:t>Przyczyny, objawy, zasady diagnozowania i postępowania t</w:t>
            </w:r>
            <w:r>
              <w:rPr>
                <w:rFonts w:cs="Calibri"/>
              </w:rPr>
              <w:t>erapeutycznego w chorobach otępiennych.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="Calibri"/>
              </w:rPr>
              <w:t>Przyczyny, objawy, zasady diagnozowania i postępowania terapeutycznego w guzach mózgu oraz urazach czaszkowo-mózgowych i kręgosłupowo-rdzeniowych.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Przyczyny, objawy, zasady diagnozowania i postępowania terapeutyczneg</w:t>
            </w:r>
            <w:r>
              <w:rPr>
                <w:rFonts w:cs="Calibri"/>
              </w:rPr>
              <w:t>o w bólach głowy, zespołach korzeniowych i neuralgiach.</w:t>
            </w:r>
          </w:p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Zajęcia praktyczne: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Rozpoznawanie najczęstszych klinicznych objawów i zespołów patologicznych w chorobach układu nerwowego oraz </w:t>
            </w:r>
            <w:r>
              <w:rPr>
                <w:rFonts w:eastAsia="Times New Roman" w:cs="Calibri"/>
              </w:rPr>
              <w:t>stanów naglących w przebiegu chorób ośrodkowego i obwodowego układu nerw</w:t>
            </w:r>
            <w:r>
              <w:rPr>
                <w:rFonts w:eastAsia="Times New Roman" w:cs="Calibri"/>
              </w:rPr>
              <w:t>owego.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Ocena stanu świadomości i stanu neurologicznego (badanie fizykalne chorego neurologicznie) pacjenta</w:t>
            </w:r>
            <w:r>
              <w:rPr>
                <w:rFonts w:cstheme="minorHAnsi"/>
              </w:rPr>
              <w:t>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Rozpoznawanie stanów zaburzenia  przytomności i świadomości oraz zaburzenia kontaktu chorego z otoczeniem z powodu dysfunkcji mowy.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Ocena kliniczna </w:t>
            </w:r>
            <w:r>
              <w:rPr>
                <w:rFonts w:cs="Calibri"/>
              </w:rPr>
              <w:t>chorego nieprzytomnego z powodu chorób OUN.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 w:cs="Calibri"/>
              </w:rPr>
              <w:t>Rozpoznawanie objawów i postępowanie</w:t>
            </w:r>
            <w:r>
              <w:rPr>
                <w:rFonts w:cs="Calibri"/>
              </w:rPr>
              <w:t xml:space="preserve"> (wykonywanie procedur medycznych) </w:t>
            </w:r>
            <w:r>
              <w:rPr>
                <w:rFonts w:eastAsia="Times New Roman" w:cs="Calibri"/>
              </w:rPr>
              <w:t xml:space="preserve">u </w:t>
            </w:r>
            <w:proofErr w:type="spellStart"/>
            <w:r>
              <w:rPr>
                <w:rFonts w:eastAsia="Times New Roman" w:cs="Calibri"/>
              </w:rPr>
              <w:t>choregoz</w:t>
            </w:r>
            <w:proofErr w:type="spellEnd"/>
            <w:r>
              <w:rPr>
                <w:rFonts w:eastAsia="Times New Roman" w:cs="Calibri"/>
              </w:rPr>
              <w:t xml:space="preserve"> chorobą </w:t>
            </w:r>
            <w:r>
              <w:rPr>
                <w:rFonts w:eastAsia="Times New Roman" w:cs="Calibri"/>
              </w:rPr>
              <w:lastRenderedPageBreak/>
              <w:t>ośrodkowego układu nerwowego na przykładzie: chorób i wad naczyniowych mózgu (udar mózgu, tętniak, naczyniak), guzów mózgu</w:t>
            </w:r>
            <w:r>
              <w:rPr>
                <w:rFonts w:eastAsia="Times New Roman" w:cs="Calibri"/>
              </w:rPr>
              <w:t xml:space="preserve"> i zespołów ciasnoty wewnątrzczaszkowej.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 w:cs="Calibri"/>
              </w:rPr>
              <w:t xml:space="preserve">Rozpoznawanie objawów i postępowanie </w:t>
            </w:r>
            <w:r>
              <w:rPr>
                <w:rFonts w:cs="Calibri"/>
              </w:rPr>
              <w:t xml:space="preserve">(wykonywanie procedur medycznych) </w:t>
            </w:r>
            <w:r>
              <w:rPr>
                <w:rFonts w:eastAsia="Times New Roman" w:cs="Calibri"/>
              </w:rPr>
              <w:t xml:space="preserve"> u chorych po urazie czaszkowo-mózgowym, urazie kręgosłupa i rdzenia kręgowego.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eastAsia="Times New Roman" w:cs="Calibri"/>
              </w:rPr>
              <w:t xml:space="preserve">Rozpoznawanie objawów i postępowanie </w:t>
            </w:r>
            <w:r>
              <w:rPr>
                <w:rFonts w:cs="Calibri"/>
              </w:rPr>
              <w:t xml:space="preserve">(wykonywanie procedur medycznych) </w:t>
            </w:r>
            <w:r>
              <w:rPr>
                <w:rFonts w:eastAsia="Times New Roman" w:cs="Calibri"/>
              </w:rPr>
              <w:t xml:space="preserve"> u  chorego z zespołami  bólowymi głowy,  kręgosłupowo-korzeniowymi, neuralgiami i ostrymi  uszkodzeniami wielonerwowymi</w:t>
            </w:r>
            <w:r>
              <w:rPr>
                <w:rFonts w:eastAsia="Times New Roman" w:cstheme="minorHAnsi"/>
              </w:rPr>
              <w:t>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="Calibri"/>
              </w:rPr>
              <w:t xml:space="preserve">Problemy diagnostyczno-terapeutyczne </w:t>
            </w:r>
            <w:r>
              <w:rPr>
                <w:rFonts w:cs="Calibri"/>
              </w:rPr>
              <w:t>(wykonywanie procedur medycznych) u</w:t>
            </w:r>
            <w:r>
              <w:rPr>
                <w:rFonts w:eastAsia="Times New Roman" w:cs="Calibri"/>
              </w:rPr>
              <w:t xml:space="preserve"> chorych z padaczką, zespołami otępiennymi, zespołami ubytkowymi neurologicznymi</w:t>
            </w:r>
            <w:r>
              <w:rPr>
                <w:rFonts w:cs="Calibri"/>
              </w:rPr>
              <w:t>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>
              <w:t>Opieka nad pacjentem przebywającym w oddziale neurologii.</w:t>
            </w:r>
          </w:p>
        </w:tc>
      </w:tr>
      <w:tr w:rsidR="00C147E2">
        <w:trPr>
          <w:trHeight w:val="28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Literatura podstawowa:</w:t>
            </w:r>
          </w:p>
          <w:p w:rsidR="00C147E2" w:rsidRDefault="001930DB">
            <w:pPr>
              <w:pStyle w:val="Heading1"/>
              <w:widowControl w:val="0"/>
              <w:numPr>
                <w:ilvl w:val="0"/>
                <w:numId w:val="4"/>
              </w:num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>Stępień</w:t>
            </w:r>
            <w:proofErr w:type="spellEnd"/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A., </w:t>
            </w:r>
            <w:proofErr w:type="spellStart"/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>Neurologia</w:t>
            </w:r>
            <w:proofErr w:type="spellEnd"/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Tom 1-3, Medical Tribune 2022,  </w:t>
            </w:r>
            <w:proofErr w:type="spellStart"/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>wyd</w:t>
            </w:r>
            <w:proofErr w:type="spellEnd"/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>. II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eastAsia="Times New Roman" w:cs="Calibri"/>
                <w:lang w:val="en-US"/>
              </w:rPr>
              <w:t xml:space="preserve">Henry GL, Little N, </w:t>
            </w:r>
            <w:proofErr w:type="spellStart"/>
            <w:r>
              <w:rPr>
                <w:rFonts w:eastAsia="Times New Roman" w:cs="Calibri"/>
                <w:lang w:val="en-US"/>
              </w:rPr>
              <w:t>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in. </w:t>
            </w:r>
            <w:r>
              <w:rPr>
                <w:rFonts w:eastAsia="Times New Roman" w:cs="Calibri"/>
              </w:rPr>
              <w:t>Sta</w:t>
            </w:r>
            <w:r>
              <w:rPr>
                <w:rFonts w:eastAsia="Times New Roman" w:cs="Calibri"/>
              </w:rPr>
              <w:t>ny naglące w neurologii  - od objawów do rozpoznania. PZWL 2007</w:t>
            </w:r>
            <w:r>
              <w:rPr>
                <w:rFonts w:eastAsia="Times New Roman" w:cstheme="minorHAnsi"/>
              </w:rPr>
              <w:t>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="Calibri"/>
              </w:rPr>
              <w:t>Fuller G.  Badanie neurologiczne. To proste. Wyd. Med. Urban &amp;Partner  2009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proofErr w:type="spellStart"/>
            <w:r>
              <w:rPr>
                <w:rFonts w:eastAsia="Andale Sans UI" w:cs="Calibri"/>
                <w:kern w:val="2"/>
                <w:lang w:val="de-DE" w:eastAsia="ja-JP" w:bidi="fa-IR"/>
              </w:rPr>
              <w:t>Kozubski</w:t>
            </w:r>
            <w:proofErr w:type="spellEnd"/>
            <w:r>
              <w:rPr>
                <w:rFonts w:eastAsia="Andale Sans UI" w:cs="Calibri"/>
                <w:kern w:val="2"/>
                <w:lang w:val="de-DE" w:eastAsia="ja-JP" w:bidi="fa-IR"/>
              </w:rPr>
              <w:t xml:space="preserve"> W., </w:t>
            </w:r>
            <w:proofErr w:type="spellStart"/>
            <w:r>
              <w:rPr>
                <w:rFonts w:eastAsia="Andale Sans UI" w:cs="Calibri"/>
                <w:kern w:val="2"/>
                <w:lang w:val="de-DE" w:eastAsia="ja-JP" w:bidi="fa-IR"/>
              </w:rPr>
              <w:t>Liberski</w:t>
            </w:r>
            <w:proofErr w:type="spellEnd"/>
            <w:r>
              <w:rPr>
                <w:rFonts w:eastAsia="Andale Sans UI" w:cs="Calibri"/>
                <w:kern w:val="2"/>
                <w:lang w:val="de-DE" w:eastAsia="ja-JP" w:bidi="fa-IR"/>
              </w:rPr>
              <w:t xml:space="preserve"> P. (red.): </w:t>
            </w:r>
            <w:proofErr w:type="spellStart"/>
            <w:r>
              <w:rPr>
                <w:rFonts w:eastAsia="Andale Sans UI" w:cs="Calibri"/>
                <w:kern w:val="2"/>
                <w:lang w:val="de-DE" w:eastAsia="ja-JP" w:bidi="fa-IR"/>
              </w:rPr>
              <w:t>Neurologia</w:t>
            </w:r>
            <w:proofErr w:type="spellEnd"/>
            <w:r>
              <w:rPr>
                <w:rFonts w:eastAsia="Andale Sans UI" w:cs="Calibri"/>
                <w:kern w:val="2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eastAsia="Andale Sans UI" w:cs="Calibri"/>
                <w:kern w:val="2"/>
                <w:lang w:val="de-DE" w:eastAsia="ja-JP" w:bidi="fa-IR"/>
              </w:rPr>
              <w:t>Podręcznik</w:t>
            </w:r>
            <w:proofErr w:type="spellEnd"/>
            <w:r>
              <w:rPr>
                <w:rFonts w:eastAsia="Andale Sans UI" w:cs="Calibri"/>
                <w:kern w:val="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Calibri"/>
                <w:kern w:val="2"/>
                <w:lang w:val="de-DE" w:eastAsia="ja-JP" w:bidi="fa-IR"/>
              </w:rPr>
              <w:t>dla</w:t>
            </w:r>
            <w:proofErr w:type="spellEnd"/>
            <w:r>
              <w:rPr>
                <w:rFonts w:eastAsia="Andale Sans UI" w:cs="Calibri"/>
                <w:kern w:val="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Calibri"/>
                <w:kern w:val="2"/>
                <w:lang w:val="de-DE" w:eastAsia="ja-JP" w:bidi="fa-IR"/>
              </w:rPr>
              <w:t>studentów</w:t>
            </w:r>
            <w:proofErr w:type="spellEnd"/>
            <w:r>
              <w:rPr>
                <w:rFonts w:eastAsia="Andale Sans UI" w:cs="Calibri"/>
                <w:kern w:val="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Calibri"/>
                <w:kern w:val="2"/>
                <w:lang w:val="de-DE" w:eastAsia="ja-JP" w:bidi="fa-IR"/>
              </w:rPr>
              <w:t>medycyny</w:t>
            </w:r>
            <w:proofErr w:type="spellEnd"/>
            <w:r>
              <w:rPr>
                <w:rFonts w:eastAsia="Andale Sans UI" w:cs="Calibri"/>
                <w:kern w:val="2"/>
                <w:lang w:val="de-DE" w:eastAsia="ja-JP" w:bidi="fa-IR"/>
              </w:rPr>
              <w:t>. PZWL, Warszawa 2009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eastAsia="Times New Roman" w:cs="Calibri"/>
              </w:rPr>
              <w:t>Lindsley</w:t>
            </w:r>
            <w:proofErr w:type="spellEnd"/>
            <w:r>
              <w:rPr>
                <w:rFonts w:eastAsia="Times New Roman" w:cs="Calibri"/>
              </w:rPr>
              <w:t xml:space="preserve"> </w:t>
            </w:r>
            <w:proofErr w:type="spellStart"/>
            <w:r>
              <w:rPr>
                <w:rFonts w:eastAsia="Times New Roman" w:cs="Calibri"/>
              </w:rPr>
              <w:t>K.W.,B</w:t>
            </w:r>
            <w:r>
              <w:rPr>
                <w:rFonts w:eastAsia="Times New Roman" w:cs="Calibri"/>
              </w:rPr>
              <w:t>one</w:t>
            </w:r>
            <w:proofErr w:type="spellEnd"/>
            <w:r>
              <w:rPr>
                <w:rFonts w:eastAsia="Times New Roman" w:cs="Calibri"/>
              </w:rPr>
              <w:t xml:space="preserve"> I. (</w:t>
            </w:r>
            <w:proofErr w:type="spellStart"/>
            <w:r>
              <w:rPr>
                <w:rFonts w:eastAsia="Times New Roman" w:cs="Calibri"/>
              </w:rPr>
              <w:t>red.W</w:t>
            </w:r>
            <w:proofErr w:type="spellEnd"/>
            <w:r>
              <w:rPr>
                <w:rFonts w:eastAsia="Times New Roman" w:cs="Calibri"/>
              </w:rPr>
              <w:t>. Kozubski). Neurologia i Neurochirurgia. Urban &amp; Partner Wrocław    2006.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eastAsia="Times New Roman" w:cs="Calibri"/>
              </w:rPr>
              <w:t>Prusinski</w:t>
            </w:r>
            <w:proofErr w:type="spellEnd"/>
            <w:r>
              <w:rPr>
                <w:rFonts w:eastAsia="Times New Roman" w:cs="Calibri"/>
              </w:rPr>
              <w:t xml:space="preserve"> A. Neurologia praktyczna PZWL </w:t>
            </w:r>
            <w:proofErr w:type="spellStart"/>
            <w:r>
              <w:rPr>
                <w:rFonts w:eastAsia="Times New Roman" w:cs="Calibri"/>
              </w:rPr>
              <w:t>W-wa</w:t>
            </w:r>
            <w:proofErr w:type="spellEnd"/>
            <w:r>
              <w:rPr>
                <w:rFonts w:eastAsia="Times New Roman" w:cs="Calibri"/>
              </w:rPr>
              <w:t xml:space="preserve"> 2007</w:t>
            </w:r>
          </w:p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Literatura uzupełniająca: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/>
              </w:rPr>
              <w:t>Maksymowicz W.: Neurochirurgia w zarysie. PZWL, Warszawa 1999.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403"/>
              </w:tabs>
              <w:spacing w:after="0" w:line="240" w:lineRule="auto"/>
              <w:ind w:right="-3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Szczeklik A., Gajewski P.: </w:t>
            </w:r>
            <w:r>
              <w:rPr>
                <w:rFonts w:ascii="Times New Roman" w:eastAsia="Times New Roman" w:hAnsi="Times New Roman"/>
              </w:rPr>
              <w:t>Interna Szczeklika. Podręcznik chorób wewnętrznych 2014, Medycyna Praktyczna, Kraków 2014.</w:t>
            </w:r>
          </w:p>
          <w:p w:rsidR="00C147E2" w:rsidRDefault="001930DB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/>
              </w:rPr>
              <w:t>Ząbek M.: Neurochirurgia. PZWL, Warszawa 1999.</w:t>
            </w:r>
          </w:p>
        </w:tc>
      </w:tr>
      <w:tr w:rsidR="00C147E2">
        <w:trPr>
          <w:trHeight w:val="330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do przedmiotu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Efekty uczenia się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Symbol efektu kierunkowego</w:t>
            </w:r>
          </w:p>
          <w:p w:rsidR="00C147E2" w:rsidRDefault="00C147E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147E2">
        <w:trPr>
          <w:trHeight w:val="24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C147E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C147E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W_01</w:t>
            </w:r>
          </w:p>
          <w:p w:rsidR="00C147E2" w:rsidRDefault="00C147E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</w:pPr>
            <w:r>
              <w:t>Psychospołeczne konsekwencje hospitalizacji i choroby przewlekłej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B.W8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</w:pPr>
            <w:r>
              <w:t>Zasady motywowania pacjentów do prozdrowotnych zachowań i informowania o niepomyślnym rokowaniu.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B.W13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</w:pPr>
            <w:r>
              <w:t>Mechanizmy działania podstawowych grup leków i leków  podawanych samod</w:t>
            </w:r>
            <w:r>
              <w:t>zielnie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C.W18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Metody ograniczania bólu.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C.W19</w:t>
            </w:r>
          </w:p>
          <w:p w:rsidR="00C147E2" w:rsidRDefault="00C147E2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</w:pPr>
            <w:r>
              <w:t>Skale oceny bólu i możliwości wdrożenia leczenia przeciwbólowego przez ratownika medycznego.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C.W20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</w:pPr>
            <w:r>
              <w:t>Leki stosowane w nagłych chorobach neurologicznych.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C.W35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W_07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</w:pPr>
            <w:r>
              <w:t>Przyczyny, objawy, zasady diagnozowania i postępowania terapeutycznego w najczęstszych chorobach układu nerwowego.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C.W36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W_08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</w:pPr>
            <w:r>
              <w:t>Przyczyny, objawy, zasady diagnozowania i postępowania w bólach głowy, chorobach naczyniowych mózgu, w szczególności w udarze móz</w:t>
            </w:r>
            <w:r>
              <w:t>gu oraz w padaczce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C.W37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W_09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</w:pPr>
            <w:r>
              <w:t>Przyczyny, objawy, zasady diagnozowania i postępowania w zakażeniach układu nerwowego, w szczególności w zapaleniu opon mózgowo-rdzeniowych.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C.W38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W_010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</w:pPr>
            <w:r>
              <w:t>Przyczyny, objawy, zasady postępowania w chorobach otępiennych.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C.W39</w:t>
            </w:r>
          </w:p>
        </w:tc>
      </w:tr>
      <w:tr w:rsidR="00C147E2">
        <w:trPr>
          <w:trHeight w:val="49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U_01</w:t>
            </w:r>
          </w:p>
          <w:p w:rsidR="00C147E2" w:rsidRDefault="00C147E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Rozpoznawać sytuacje, które wymagają konsultacji z przedstawicielem innego zawodu medycznego lub koordynatorem medycznym.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B.U2</w:t>
            </w:r>
          </w:p>
          <w:p w:rsidR="00C147E2" w:rsidRDefault="00C147E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Przestrzegać zasad etycznych podczas wykonywania działań zawodowych.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B.U5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 xml:space="preserve">Oceniać stan </w:t>
            </w:r>
            <w:r>
              <w:t>pacjenta w celu ustalenia sposobu postępowania ratunkowego,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</w:pPr>
            <w:r>
              <w:t>Oceniać stan neurologiczny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C.U17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Oceniać nagłe zagrożenia neurologiczne u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C.U48</w:t>
            </w:r>
          </w:p>
        </w:tc>
      </w:tr>
      <w:tr w:rsidR="00C147E2">
        <w:trPr>
          <w:trHeight w:val="49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</w:pPr>
            <w:r>
              <w:t>Wykonywać procedury medyczne pod nadzorem  pielęgniarki i lub na zlecenie</w:t>
            </w:r>
            <w:r>
              <w:t xml:space="preserve"> lekarza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C.U65</w:t>
            </w:r>
          </w:p>
        </w:tc>
      </w:tr>
      <w:tr w:rsidR="00C147E2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Kompetencje społeczne(jest gotów do)</w:t>
            </w:r>
          </w:p>
          <w:p w:rsidR="00C147E2" w:rsidRDefault="00C147E2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E2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Dostrzegania czynników wpływających na reakcje własne i pacjenta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</w:t>
            </w:r>
          </w:p>
        </w:tc>
      </w:tr>
      <w:tr w:rsidR="00C147E2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</w:pPr>
            <w:r>
              <w:t xml:space="preserve">Samodzielnego wykonywania zawodu zgodnie z zasadami etyki ogólnej i zawodowej oraz holistycznego i </w:t>
            </w:r>
            <w:r>
              <w:t>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K1.3.3</w:t>
            </w:r>
          </w:p>
        </w:tc>
      </w:tr>
      <w:tr w:rsidR="00C147E2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K_03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t>Organizowania pracy własnej i współpracy w zespole specjalistów, w tym z przedstawicielami innych zawodów medycznych, także w środowisku wielokulturowym i wie</w:t>
            </w:r>
            <w:r>
              <w:t>lonarodowościowym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K1.3.4</w:t>
            </w:r>
          </w:p>
        </w:tc>
      </w:tr>
      <w:tr w:rsidR="00C147E2">
        <w:trPr>
          <w:trHeight w:val="2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C147E2">
        <w:trPr>
          <w:trHeight w:val="255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C147E2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Bilans nakładu pracy studenta w godzinach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Obciążenie studenta (godz.)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Samodzielne </w:t>
            </w:r>
            <w:r>
              <w:rPr>
                <w:rFonts w:cstheme="minorHAnsi"/>
              </w:rPr>
              <w:t>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Jednostka realizująca: </w:t>
            </w:r>
            <w:r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Osoby prowadzące:</w:t>
            </w:r>
          </w:p>
        </w:tc>
      </w:tr>
      <w:tr w:rsidR="00C147E2">
        <w:trPr>
          <w:trHeight w:val="255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Data opracowania programu: 1.10.2023 r.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E2" w:rsidRDefault="001930DB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Program opracowała: </w:t>
            </w:r>
          </w:p>
        </w:tc>
      </w:tr>
    </w:tbl>
    <w:p w:rsidR="00C147E2" w:rsidRDefault="00C147E2">
      <w:pPr>
        <w:pStyle w:val="Listapunktowana2"/>
        <w:tabs>
          <w:tab w:val="clear" w:pos="643"/>
        </w:tabs>
        <w:ind w:left="0" w:firstLine="0"/>
        <w:rPr>
          <w:rFonts w:cstheme="minorHAnsi"/>
        </w:rPr>
      </w:pPr>
    </w:p>
    <w:p w:rsidR="00C147E2" w:rsidRDefault="00C147E2">
      <w:pPr>
        <w:pStyle w:val="Listapunktowana2"/>
        <w:tabs>
          <w:tab w:val="clear" w:pos="643"/>
        </w:tabs>
        <w:rPr>
          <w:rFonts w:cstheme="minorHAnsi"/>
        </w:rPr>
      </w:pPr>
    </w:p>
    <w:p w:rsidR="00C147E2" w:rsidRDefault="00C147E2">
      <w:pPr>
        <w:pStyle w:val="Listapunktowana2"/>
        <w:tabs>
          <w:tab w:val="clear" w:pos="643"/>
        </w:tabs>
        <w:rPr>
          <w:rFonts w:cstheme="minorHAnsi"/>
        </w:rPr>
      </w:pPr>
    </w:p>
    <w:sectPr w:rsidR="00C147E2" w:rsidSect="00C147E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5D6"/>
    <w:multiLevelType w:val="multilevel"/>
    <w:tmpl w:val="BBA05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1F30530"/>
    <w:multiLevelType w:val="multilevel"/>
    <w:tmpl w:val="61D24D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360350D"/>
    <w:multiLevelType w:val="multilevel"/>
    <w:tmpl w:val="D258FB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theme="minorBid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8A26A4E"/>
    <w:multiLevelType w:val="multilevel"/>
    <w:tmpl w:val="E5F8E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2C1295A"/>
    <w:multiLevelType w:val="multilevel"/>
    <w:tmpl w:val="5DE6A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5050FAC"/>
    <w:multiLevelType w:val="multilevel"/>
    <w:tmpl w:val="E10AF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C147E2"/>
    <w:rsid w:val="001930DB"/>
    <w:rsid w:val="00C1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Footer"/>
    <w:qFormat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Nagwek">
    <w:name w:val="header"/>
    <w:basedOn w:val="Normalny"/>
    <w:next w:val="Tekstpodstawowy"/>
    <w:qFormat/>
    <w:rsid w:val="00C147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Lista">
    <w:name w:val="List"/>
    <w:basedOn w:val="Tekstpodstawowy"/>
    <w:rsid w:val="00C147E2"/>
    <w:rPr>
      <w:rFonts w:cs="Arial"/>
    </w:rPr>
  </w:style>
  <w:style w:type="paragraph" w:customStyle="1" w:styleId="Caption">
    <w:name w:val="Caption"/>
    <w:basedOn w:val="Normalny"/>
    <w:qFormat/>
    <w:rsid w:val="00C147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147E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Listapunktowana2">
    <w:name w:val="List Bullet 2"/>
    <w:basedOn w:val="Normalny"/>
    <w:uiPriority w:val="99"/>
    <w:unhideWhenUsed/>
    <w:qFormat/>
    <w:rsid w:val="003E4AC4"/>
    <w:pPr>
      <w:tabs>
        <w:tab w:val="num" w:pos="643"/>
      </w:tabs>
      <w:ind w:left="643" w:hanging="360"/>
      <w:contextualSpacing/>
    </w:pPr>
  </w:style>
  <w:style w:type="paragraph" w:customStyle="1" w:styleId="Default">
    <w:name w:val="Default"/>
    <w:qFormat/>
    <w:rsid w:val="00491D0B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C147E2"/>
  </w:style>
  <w:style w:type="paragraph" w:customStyle="1" w:styleId="Footer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D854CF"/>
    <w:rPr>
      <w:rFonts w:eastAsia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110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3CDB-7820-456B-8BB6-5A11084C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1016</Words>
  <Characters>6100</Characters>
  <Application>Microsoft Office Word</Application>
  <DocSecurity>0</DocSecurity>
  <Lines>50</Lines>
  <Paragraphs>14</Paragraphs>
  <ScaleCrop>false</ScaleCrop>
  <Company>.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236</cp:revision>
  <dcterms:created xsi:type="dcterms:W3CDTF">2015-03-17T08:45:00Z</dcterms:created>
  <dcterms:modified xsi:type="dcterms:W3CDTF">2023-09-10T12:47:00Z</dcterms:modified>
  <dc:language>pl-PL</dc:language>
</cp:coreProperties>
</file>