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F02B53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02B53">
        <w:rPr>
          <w:rFonts w:cstheme="minorHAnsi"/>
          <w:color w:val="000000" w:themeColor="text1"/>
        </w:rPr>
        <w:t>Ortopedia i traumatologia narządu ruchu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C37BC" w:rsidRPr="0072333C">
        <w:rPr>
          <w:rFonts w:asciiTheme="minorHAnsi" w:hAnsiTheme="minorHAnsi" w:cstheme="minorHAnsi"/>
          <w:sz w:val="22"/>
          <w:szCs w:val="22"/>
        </w:rPr>
        <w:t>II rok. III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E766B7" w:rsidTr="001E53AB">
        <w:trPr>
          <w:trHeight w:val="1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E766B7" w:rsidRDefault="00AC1108" w:rsidP="006434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Ortopedia i traumatologia </w:t>
            </w:r>
            <w:r w:rsidR="008B2393" w:rsidRPr="00E7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narządu</w:t>
            </w:r>
            <w:r w:rsidRPr="00E7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ruchu.</w:t>
            </w:r>
          </w:p>
        </w:tc>
      </w:tr>
      <w:tr w:rsidR="005153E9" w:rsidRPr="00E766B7" w:rsidTr="001E53AB">
        <w:trPr>
          <w:trHeight w:val="31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766B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E766B7" w:rsidTr="001E53AB">
        <w:trPr>
          <w:trHeight w:val="256"/>
        </w:trPr>
        <w:tc>
          <w:tcPr>
            <w:tcW w:w="2268" w:type="dxa"/>
            <w:gridSpan w:val="2"/>
          </w:tcPr>
          <w:p w:rsidR="005153E9" w:rsidRPr="00E766B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E766B7" w:rsidRDefault="009A00EE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Grupa zajęć C. Nauki kliniczne</w:t>
            </w:r>
          </w:p>
        </w:tc>
      </w:tr>
      <w:tr w:rsidR="005153E9" w:rsidRPr="00E766B7" w:rsidTr="001E53AB">
        <w:trPr>
          <w:trHeight w:val="25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E766B7" w:rsidRDefault="002C37BC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E766B7" w:rsidTr="001E53AB">
        <w:trPr>
          <w:trHeight w:val="36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E766B7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7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AC1108" w:rsidRPr="00E7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</w:tr>
      <w:tr w:rsidR="005153E9" w:rsidRPr="00E766B7" w:rsidTr="001E53AB">
        <w:trPr>
          <w:trHeight w:val="30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E766B7" w:rsidRDefault="00AC110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E766B7" w:rsidTr="001E53AB">
        <w:trPr>
          <w:trHeight w:val="33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E766B7" w:rsidRDefault="00CF5135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50 h(10 h w.; 20 h ćw.; 20 h zajęć praktycznych)</w:t>
            </w:r>
            <w:r w:rsidR="006C58E0" w:rsidRPr="00E766B7">
              <w:rPr>
                <w:rFonts w:ascii="Times New Roman" w:hAnsi="Times New Roman" w:cs="Times New Roman"/>
                <w:sz w:val="24"/>
                <w:szCs w:val="24"/>
              </w:rPr>
              <w:t>oraz 25 h pracy własnej</w:t>
            </w:r>
          </w:p>
        </w:tc>
      </w:tr>
      <w:tr w:rsidR="005153E9" w:rsidRPr="00E766B7" w:rsidTr="001E53AB">
        <w:trPr>
          <w:trHeight w:val="58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E766B7" w:rsidRDefault="00AC1108" w:rsidP="00AC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Anatomia człowieka;</w:t>
            </w:r>
            <w:r w:rsidR="007C3C93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Ratownictwo medyczne w urazach; Choroby wewnętrzne z elementami onkologii; Farmakologia z toksykologią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; Medyczne czynności ratunkowe; Medycyna Ratunkowa; Techniki zabiegów medycznych; </w:t>
            </w:r>
          </w:p>
        </w:tc>
      </w:tr>
      <w:tr w:rsidR="005153E9" w:rsidRPr="00E766B7" w:rsidTr="001E53AB">
        <w:trPr>
          <w:trHeight w:val="1470"/>
        </w:trPr>
        <w:tc>
          <w:tcPr>
            <w:tcW w:w="10329" w:type="dxa"/>
            <w:gridSpan w:val="5"/>
          </w:tcPr>
          <w:p w:rsidR="00C44058" w:rsidRPr="00E766B7" w:rsidRDefault="000B7C60" w:rsidP="00C44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E766B7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5135" w:rsidRPr="00E7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4058" w:rsidRPr="00E766B7" w:rsidRDefault="00C44058" w:rsidP="00C44058">
            <w:pPr>
              <w:pStyle w:val="Default"/>
              <w:jc w:val="both"/>
            </w:pPr>
            <w:r w:rsidRPr="00E766B7">
              <w:t xml:space="preserve">Przyswojenie teoretycznych i praktycznych wiadomości z zakresu traumatologii ogólnej i traumatologii narządów ruchu. Przyswojenie wiedzy na temat badania podmiotowego i przedmiotowego ze szczególnym uwzględnieniem narządów ruchu. Nauka zbierania wywiadu z chorym, świadkami zdarzenia (urazu). Ocena ciężkości urazu; zwłaszcza identyfikacja urazu wysokoenergetycznego, stanów nagłego zagrożenia życia. Przyswojenie wiadomości nt. wstrząsu, krwotoków zewnętrznych i wewnętrznych. Przyswojenie rozszerzonej wiedzy dotyczącej następstw urazów w obrębie układu kostno-stawowego tj. złamania, zwichnięcia, skręcenia stawów, uszkodzenia aparatu ścięgnisto – więzadłowego. Przyswojenie wiedzy rozszerzonej dotyczącej obrażeń tkanek miękkich narządów ruchu tj. krwiaki, stłuczenia, uszkodzenia nerwów obwodowych i naczyń krwionośnych obwodowych. Przyswojenie wiadomości nt. powikłań po urazach w obrębie narządów ruchu, tj. zakażenia, zatorowość tłuszczowa i zakrzepowa, niewydolność wieloukładowa i wielonarządowa. Przyswojenie zasad postępowania z chorymi po urazach w obrębie narządu ruchu, zwłaszcza we wczesnym okresie; na miejscu wypadku, w czasie transportu do szpitala, przy przyjęciu chorego do szpitala. Zasady unieruchamiania uszkodzonych kończyn. Zasady postępowania w przypadku podejrzenia uszkodzenia kręgosłupa we wszystkich jego odcinkach. Przyswojenie wiedzy nt. zasad definitywnego zaopatrywania zachowawczego i operacyjnego obrażeń narządów ruchu; operacje ze wskazań nagłych, operacje </w:t>
            </w:r>
          </w:p>
          <w:p w:rsidR="000B7C60" w:rsidRPr="00E766B7" w:rsidRDefault="00C44058" w:rsidP="00C440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wykonywane w trybie planowym. Opanowanie wiedzy dotyczącej zasad usprawniania po urazach w obrębie narządów ruchu. </w:t>
            </w:r>
          </w:p>
        </w:tc>
      </w:tr>
      <w:tr w:rsidR="005153E9" w:rsidRPr="00E766B7" w:rsidTr="001E53AB">
        <w:trPr>
          <w:trHeight w:val="273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F02B53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E766B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W_01,02,03,</w:t>
            </w:r>
            <w:r w:rsidR="00BA5DCD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44" w:rsidRPr="00E766B7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E766B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E766B7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E766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09,10,11,12,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E766B7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dycznych czynności  ratunkowych w czasie ćwiczeń i zajęć praktycznych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E766B7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  <w:r w:rsidR="00CE7CC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E1" w:rsidRPr="00E766B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E766B7" w:rsidTr="001E53AB">
        <w:trPr>
          <w:trHeight w:val="3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B03155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56E5D" w:rsidRPr="00E766B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obowiązkowa</w:t>
            </w:r>
          </w:p>
          <w:p w:rsidR="005153E9" w:rsidRPr="00E766B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E766B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owe z wykonywanych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iczeń.</w:t>
            </w:r>
          </w:p>
          <w:p w:rsidR="002D684F" w:rsidRPr="00E766B7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: oceny cząstkowe.</w:t>
            </w:r>
          </w:p>
          <w:p w:rsidR="00AC3E3C" w:rsidRPr="00E766B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 egzamin</w:t>
            </w:r>
            <w:r w:rsidR="00FD5637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0355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– test do wyboru, za każde pytanie student może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otrzymać 1 punkt</w:t>
            </w:r>
            <w:r w:rsidR="00AC3E3C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84F" w:rsidRPr="00E766B7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Kryteria oceny: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E766B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>, egzaminu końcowego</w:t>
            </w:r>
            <w:r w:rsidR="007D72B7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E76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E766B7" w:rsidTr="001E53AB">
        <w:trPr>
          <w:trHeight w:val="992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F52418" w:rsidRPr="00E766B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Wykłady. </w:t>
            </w:r>
          </w:p>
          <w:p w:rsidR="00544291" w:rsidRPr="00E766B7" w:rsidRDefault="00F02B53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>Demonstracja multimedialna</w:t>
            </w:r>
            <w:r w:rsidR="00544291" w:rsidRPr="00E766B7">
              <w:rPr>
                <w:rFonts w:ascii="Times New Roman" w:hAnsi="Times New Roman"/>
                <w:sz w:val="24"/>
                <w:szCs w:val="24"/>
              </w:rPr>
              <w:t xml:space="preserve"> z licznymi obrazami uszkodzeń długich i krótkich kości, kości miednicy, kręgosłupa z uszkodzeniem i bez uszkodzenia rdzenia kręgowego.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Pierwotne i wtórne uszkodzenia rdzenia kręgowego z zasadami udzielania pierwszej pomocy i warunków transportu w przypadku podejrzenia uszkodzeń rdzenia kręgowego z wykorzystaniem kołnierza typu 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Schanza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Specyfika złamań kości długich, zwichnięć w stawach powodujących znaczną utratę krwi, a także uszkodzenia naczyń i nerwów obwodowych.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Obrażenia kończyny górnej i w obrębie pasa barkowego; zasady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Obrażenia kończyny dolnej i pasa miednicznego z zasadami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Zasady postępowania w obrażeniach otwartych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Postępowanie w amputacjach urazowych – zabezpieczenie części amputowanych (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amputatów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) dla celów ewentualnej replantacji. </w:t>
            </w:r>
          </w:p>
          <w:p w:rsidR="00544291" w:rsidRPr="00E766B7" w:rsidRDefault="00544291" w:rsidP="000173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Demonstracja filmów i zdjęć fotograficznych z przebiegu wybranych operacji chirurgicznego zaopatrywania obrażeń narządu ruchu. </w:t>
            </w:r>
          </w:p>
          <w:p w:rsidR="00544291" w:rsidRPr="00E766B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</w:t>
            </w:r>
            <w:r w:rsidR="00BC04A5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wiczenia</w:t>
            </w:r>
            <w:r w:rsidR="00C03F6C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 zajęcia praktyczne.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Urazy, rodzaje obrażeń, objawy, zasady postępowania na miejscu wypadku, transport chorego do szpitala, metody diagnozowania i leczenia.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Wywiad, badanie pacjenta ze schorzeniami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Analiza przypadków schorzeń przewlekłych, nagłych i urazowych w obrębie narządu ruchu. Obowiązująca dokumentacja pacjenta.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Opanowanie zasad badania poszkodowanego z podejrzeniem obrażeń narządów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Techniki zaopatrywania chorych z obrażeniami narządów ruchu z praktycznym wykonywaniem zaopatrzenia, zwłaszcza wstępnego.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Wymienna plastyka stawów w uszkodzeniach pourazowych. </w:t>
            </w:r>
          </w:p>
          <w:p w:rsidR="00824285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Wybrane elementy leczenia specjalistycznego obrażeń narządu ruch w stanach urazowych i planowych. </w:t>
            </w:r>
          </w:p>
        </w:tc>
      </w:tr>
      <w:tr w:rsidR="005153E9" w:rsidRPr="00E766B7" w:rsidTr="001E53AB">
        <w:trPr>
          <w:trHeight w:val="285"/>
        </w:trPr>
        <w:tc>
          <w:tcPr>
            <w:tcW w:w="10329" w:type="dxa"/>
            <w:gridSpan w:val="5"/>
          </w:tcPr>
          <w:p w:rsidR="004C4535" w:rsidRPr="00E766B7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04887" w:rsidRPr="00E766B7" w:rsidRDefault="002F0667" w:rsidP="00A048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A. Nowakowski, T. Mazurek  red. </w:t>
            </w:r>
            <w:r w:rsidR="00A04887" w:rsidRPr="00E766B7">
              <w:rPr>
                <w:rFonts w:ascii="Times New Roman" w:hAnsi="Times New Roman"/>
                <w:sz w:val="24"/>
                <w:szCs w:val="24"/>
              </w:rPr>
              <w:t>Ortopedia i traumatologia. Podręcznik dla studentów medycyny,  Poznań 2017, Wydawnictwo Naukowe Exemplum</w:t>
            </w:r>
            <w:r w:rsidRPr="00E766B7">
              <w:rPr>
                <w:rFonts w:ascii="Times New Roman" w:hAnsi="Times New Roman"/>
                <w:sz w:val="24"/>
                <w:szCs w:val="24"/>
              </w:rPr>
              <w:t>, wyd. 1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  <w:rPr>
                <w:color w:val="auto"/>
              </w:rPr>
            </w:pPr>
            <w:r w:rsidRPr="00E766B7">
              <w:t xml:space="preserve">T. Gaździk T. i </w:t>
            </w:r>
            <w:proofErr w:type="spellStart"/>
            <w:r w:rsidRPr="00E766B7">
              <w:t>wsp</w:t>
            </w:r>
            <w:proofErr w:type="spellEnd"/>
            <w:r w:rsidRPr="00E766B7">
              <w:t>.: „Ortopedia i traumatologia” – podręcznik dla studentów medycyny, PZWL 2010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</w:pPr>
            <w:r w:rsidRPr="00E766B7">
              <w:t xml:space="preserve">Tylman D., Dziak A.: „Traumatologia narządu ruchu”, T 1 i 2, PZWL, 2013, wyd.2. 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  <w:rPr>
                <w:color w:val="auto"/>
              </w:rPr>
            </w:pPr>
            <w:r w:rsidRPr="00E766B7">
              <w:t xml:space="preserve">Zawadzki A.: „ Medycyna ratunkowa i katastrof”, PZWL, Warszawa 2011. </w:t>
            </w:r>
          </w:p>
          <w:p w:rsidR="00EB2FD0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L., Lasek J., Słowiński K.: „Podstawy chirurgii urazowej”, Wydawnictwo Medyczne Kraków, 2008.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L.: „Złota godzina”, Wydawnictwo Medyczne, Kraków 2007. </w:t>
            </w:r>
          </w:p>
          <w:p w:rsidR="002B230A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Jakubaszko</w:t>
            </w:r>
            <w:proofErr w:type="spellEnd"/>
            <w:r w:rsidRPr="00E766B7">
              <w:t xml:space="preserve"> J.: „Ratownik medyczny”, Wyd. Med. Górnicki, Wrocław 2010. </w:t>
            </w:r>
          </w:p>
        </w:tc>
      </w:tr>
      <w:tr w:rsidR="005153E9" w:rsidRPr="00E766B7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E766B7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E766B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241"/>
        </w:trPr>
        <w:tc>
          <w:tcPr>
            <w:tcW w:w="1276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E766B7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495"/>
        </w:trPr>
        <w:tc>
          <w:tcPr>
            <w:tcW w:w="1276" w:type="dxa"/>
          </w:tcPr>
          <w:p w:rsidR="005153E9" w:rsidRPr="00E766B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E766B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Przyczyny, objawy, mechanizmy powstawania uszkodzeń w obrębie narządów ruchu oraz zasady postępowania ratowniczego u dorosłych i dzieci. </w:t>
            </w:r>
          </w:p>
          <w:p w:rsidR="005153E9" w:rsidRPr="00E766B7" w:rsidRDefault="005153E9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CE7ACB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755959" w:rsidRPr="00E766B7" w:rsidTr="001E53AB">
        <w:trPr>
          <w:trHeight w:val="495"/>
        </w:trPr>
        <w:tc>
          <w:tcPr>
            <w:tcW w:w="1276" w:type="dxa"/>
          </w:tcPr>
          <w:p w:rsidR="00755959" w:rsidRPr="00E766B7" w:rsidRDefault="00FE5F0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Uszkodzeń rdzenia kręgowego, nerwów obwodowych i dużych pni naczyniowych. </w:t>
            </w:r>
          </w:p>
          <w:p w:rsidR="00755959" w:rsidRPr="00E766B7" w:rsidRDefault="00755959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755959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987E4B" w:rsidRPr="00E766B7" w:rsidTr="001E53AB">
        <w:trPr>
          <w:trHeight w:val="495"/>
        </w:trPr>
        <w:tc>
          <w:tcPr>
            <w:tcW w:w="1276" w:type="dxa"/>
          </w:tcPr>
          <w:p w:rsidR="00987E4B" w:rsidRPr="00E766B7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CE4D38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Zasady działania leków stosowanych w leczeniu chorych z obrażeniami narządów ruchu. </w:t>
            </w:r>
          </w:p>
          <w:p w:rsidR="00987E4B" w:rsidRPr="00E766B7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2B6E3A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8626D9" w:rsidRPr="00E766B7" w:rsidTr="001E53AB">
        <w:trPr>
          <w:trHeight w:val="570"/>
        </w:trPr>
        <w:tc>
          <w:tcPr>
            <w:tcW w:w="10329" w:type="dxa"/>
            <w:gridSpan w:val="5"/>
          </w:tcPr>
          <w:p w:rsidR="008626D9" w:rsidRPr="00E766B7" w:rsidRDefault="00A14F93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Umiejętności(potrafi)</w:t>
            </w:r>
          </w:p>
        </w:tc>
      </w:tr>
      <w:tr w:rsidR="002270F3" w:rsidRPr="00E766B7" w:rsidTr="001E53AB">
        <w:trPr>
          <w:trHeight w:val="439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E766B7" w:rsidRDefault="00A14F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E4D38" w:rsidRPr="00E766B7" w:rsidRDefault="00CE4D3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C.U04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E4D38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wywiad medyczny z pacjentem dorosłym w zakresie niezbędnym do podjęcia medycznych czynności ratunkowych.</w:t>
            </w:r>
          </w:p>
        </w:tc>
        <w:tc>
          <w:tcPr>
            <w:tcW w:w="1682" w:type="dxa"/>
          </w:tcPr>
          <w:p w:rsidR="00CE4D38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C.U07</w:t>
            </w:r>
          </w:p>
        </w:tc>
      </w:tr>
      <w:tr w:rsidR="00313D61" w:rsidRPr="00E766B7" w:rsidTr="001E53AB">
        <w:trPr>
          <w:trHeight w:val="439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C.U08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313D6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A14F93" w:rsidRPr="00E766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C.U09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C.U28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Oceniać wskazania do transportu pacjenta do ośrodka hiperbarycznego, centrum urazowego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C.U35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Stosować się do zasad aseptyki i antyseptyki, zaopatrywać ranę, zakładać opatrunek.</w:t>
            </w:r>
          </w:p>
        </w:tc>
        <w:tc>
          <w:tcPr>
            <w:tcW w:w="1682" w:type="dxa"/>
          </w:tcPr>
          <w:p w:rsidR="002270F3" w:rsidRPr="00E766B7" w:rsidRDefault="002270F3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E05EFC" w:rsidRPr="00E766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06341" w:rsidRPr="00E766B7" w:rsidRDefault="00606341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Tamować krwotoki zewnętrzne i unieruchamiać kończyny po urazie.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Identyfikować zagrożenia obrażeń: czaszkowo-mózgowych, kręgosłupa i rdzenia kręgowego, miednicy.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C.U52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2270F3" w:rsidRPr="00E766B7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A36BF4" w:rsidRPr="00E766B7" w:rsidTr="001E53AB">
        <w:trPr>
          <w:trHeight w:val="255"/>
        </w:trPr>
        <w:tc>
          <w:tcPr>
            <w:tcW w:w="10329" w:type="dxa"/>
            <w:gridSpan w:val="5"/>
          </w:tcPr>
          <w:p w:rsidR="00A36BF4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społeczne(jest gotów)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E766B7" w:rsidRDefault="001E53A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E766B7" w:rsidRDefault="001E53A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K1.3.1.</w:t>
            </w:r>
          </w:p>
        </w:tc>
      </w:tr>
      <w:tr w:rsidR="008B2393" w:rsidRPr="00E766B7" w:rsidTr="001E53AB">
        <w:trPr>
          <w:trHeight w:val="255"/>
        </w:trPr>
        <w:tc>
          <w:tcPr>
            <w:tcW w:w="1276" w:type="dxa"/>
          </w:tcPr>
          <w:p w:rsidR="008B2393" w:rsidRPr="00E766B7" w:rsidRDefault="008B239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B2393" w:rsidRPr="00E766B7" w:rsidRDefault="008B23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8B2393" w:rsidRPr="00E766B7" w:rsidRDefault="008B23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E766B7" w:rsidRDefault="002270F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3AB" w:rsidRPr="00E766B7" w:rsidTr="003637E7">
        <w:trPr>
          <w:trHeight w:val="255"/>
        </w:trPr>
        <w:tc>
          <w:tcPr>
            <w:tcW w:w="10329" w:type="dxa"/>
            <w:gridSpan w:val="5"/>
          </w:tcPr>
          <w:p w:rsidR="004532BF" w:rsidRPr="00E766B7" w:rsidRDefault="004532BF" w:rsidP="00453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AB" w:rsidRPr="00E766B7" w:rsidRDefault="001E53AB" w:rsidP="0072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E766B7" w:rsidRDefault="001E53AB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75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7" w:rsidRPr="00E766B7" w:rsidTr="001E53AB">
        <w:trPr>
          <w:trHeight w:val="255"/>
        </w:trPr>
        <w:tc>
          <w:tcPr>
            <w:tcW w:w="5130" w:type="dxa"/>
            <w:gridSpan w:val="3"/>
          </w:tcPr>
          <w:p w:rsidR="00B05CB7" w:rsidRPr="00E766B7" w:rsidRDefault="00B05CB7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B05CB7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6D633C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Prof. Jerzy Robert Ładny, </w:t>
            </w:r>
            <w:r w:rsidR="009E106C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633C" w:rsidRPr="00E766B7">
              <w:rPr>
                <w:rFonts w:ascii="Times New Roman" w:hAnsi="Times New Roman" w:cs="Times New Roman"/>
                <w:sz w:val="24"/>
                <w:szCs w:val="24"/>
              </w:rPr>
              <w:t>lek. Wojciech Jasiński</w:t>
            </w:r>
          </w:p>
        </w:tc>
        <w:bookmarkStart w:id="0" w:name="_GoBack"/>
        <w:bookmarkEnd w:id="0"/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6D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E53AB" w:rsidRPr="00E766B7" w:rsidRDefault="001E53AB" w:rsidP="001E53AB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1E53AB" w:rsidRPr="00E766B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41"/>
  </w:num>
  <w:num w:numId="5">
    <w:abstractNumId w:val="4"/>
  </w:num>
  <w:num w:numId="6">
    <w:abstractNumId w:val="21"/>
  </w:num>
  <w:num w:numId="7">
    <w:abstractNumId w:val="23"/>
  </w:num>
  <w:num w:numId="8">
    <w:abstractNumId w:val="20"/>
  </w:num>
  <w:num w:numId="9">
    <w:abstractNumId w:val="1"/>
  </w:num>
  <w:num w:numId="10">
    <w:abstractNumId w:val="12"/>
  </w:num>
  <w:num w:numId="11">
    <w:abstractNumId w:val="22"/>
  </w:num>
  <w:num w:numId="12">
    <w:abstractNumId w:val="36"/>
  </w:num>
  <w:num w:numId="13">
    <w:abstractNumId w:val="39"/>
  </w:num>
  <w:num w:numId="14">
    <w:abstractNumId w:val="0"/>
  </w:num>
  <w:num w:numId="15">
    <w:abstractNumId w:val="27"/>
  </w:num>
  <w:num w:numId="16">
    <w:abstractNumId w:val="30"/>
  </w:num>
  <w:num w:numId="17">
    <w:abstractNumId w:val="5"/>
  </w:num>
  <w:num w:numId="18">
    <w:abstractNumId w:val="9"/>
  </w:num>
  <w:num w:numId="19">
    <w:abstractNumId w:val="31"/>
  </w:num>
  <w:num w:numId="20">
    <w:abstractNumId w:val="8"/>
  </w:num>
  <w:num w:numId="21">
    <w:abstractNumId w:val="43"/>
  </w:num>
  <w:num w:numId="22">
    <w:abstractNumId w:val="14"/>
  </w:num>
  <w:num w:numId="23">
    <w:abstractNumId w:val="19"/>
  </w:num>
  <w:num w:numId="24">
    <w:abstractNumId w:val="32"/>
  </w:num>
  <w:num w:numId="25">
    <w:abstractNumId w:val="16"/>
  </w:num>
  <w:num w:numId="26">
    <w:abstractNumId w:val="11"/>
  </w:num>
  <w:num w:numId="27">
    <w:abstractNumId w:val="26"/>
  </w:num>
  <w:num w:numId="28">
    <w:abstractNumId w:val="24"/>
  </w:num>
  <w:num w:numId="29">
    <w:abstractNumId w:val="15"/>
  </w:num>
  <w:num w:numId="30">
    <w:abstractNumId w:val="25"/>
  </w:num>
  <w:num w:numId="31">
    <w:abstractNumId w:val="2"/>
  </w:num>
  <w:num w:numId="32">
    <w:abstractNumId w:val="38"/>
  </w:num>
  <w:num w:numId="33">
    <w:abstractNumId w:val="18"/>
  </w:num>
  <w:num w:numId="34">
    <w:abstractNumId w:val="35"/>
  </w:num>
  <w:num w:numId="35">
    <w:abstractNumId w:val="7"/>
  </w:num>
  <w:num w:numId="36">
    <w:abstractNumId w:val="10"/>
  </w:num>
  <w:num w:numId="37">
    <w:abstractNumId w:val="40"/>
  </w:num>
  <w:num w:numId="38">
    <w:abstractNumId w:val="17"/>
  </w:num>
  <w:num w:numId="39">
    <w:abstractNumId w:val="28"/>
  </w:num>
  <w:num w:numId="40">
    <w:abstractNumId w:val="33"/>
  </w:num>
  <w:num w:numId="41">
    <w:abstractNumId w:val="42"/>
  </w:num>
  <w:num w:numId="42">
    <w:abstractNumId w:val="13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1738A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0667"/>
    <w:rsid w:val="002F75B1"/>
    <w:rsid w:val="003063ED"/>
    <w:rsid w:val="00313D61"/>
    <w:rsid w:val="00325806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06341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D633C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E106C"/>
    <w:rsid w:val="00A04887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E2137"/>
    <w:rsid w:val="00AF155F"/>
    <w:rsid w:val="00AF1A9D"/>
    <w:rsid w:val="00AF2722"/>
    <w:rsid w:val="00AF3B1D"/>
    <w:rsid w:val="00AF7CF1"/>
    <w:rsid w:val="00B03155"/>
    <w:rsid w:val="00B053BA"/>
    <w:rsid w:val="00B05CB7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766B7"/>
    <w:rsid w:val="00E925FF"/>
    <w:rsid w:val="00E95E0B"/>
    <w:rsid w:val="00EA6F9E"/>
    <w:rsid w:val="00EA7017"/>
    <w:rsid w:val="00EB0370"/>
    <w:rsid w:val="00EB2FD0"/>
    <w:rsid w:val="00EC2AB8"/>
    <w:rsid w:val="00EC3AEF"/>
    <w:rsid w:val="00EC5230"/>
    <w:rsid w:val="00ED0A0E"/>
    <w:rsid w:val="00EE7CE1"/>
    <w:rsid w:val="00EF069D"/>
    <w:rsid w:val="00EF6655"/>
    <w:rsid w:val="00F02B53"/>
    <w:rsid w:val="00F038AE"/>
    <w:rsid w:val="00F069A8"/>
    <w:rsid w:val="00F1579A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0F9C-917F-4807-84C2-C306A6DC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C5C1-D72B-4FD5-94FA-40DB5BC4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190</cp:revision>
  <dcterms:created xsi:type="dcterms:W3CDTF">2015-03-17T08:45:00Z</dcterms:created>
  <dcterms:modified xsi:type="dcterms:W3CDTF">2021-03-23T18:33:00Z</dcterms:modified>
</cp:coreProperties>
</file>